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2"/>
          <w:lang w:bidi="hu-HU"/>
        </w:rPr>
      </w:pPr>
      <w:r>
        <w:rPr>
          <w:b/>
          <w:bCs/>
          <w:sz w:val="32"/>
          <w:lang w:bidi="hu-HU"/>
        </w:rPr>
      </w:r>
      <w:bookmarkStart w:id="0" w:name="bookmark4"/>
      <w:bookmarkStart w:id="1" w:name="bookmark4"/>
    </w:p>
    <w:p>
      <w:pPr>
        <w:pStyle w:val="Normal"/>
        <w:rPr>
          <w:b/>
          <w:b/>
          <w:bCs/>
          <w:sz w:val="32"/>
          <w:lang w:bidi="hu-HU"/>
        </w:rPr>
      </w:pPr>
      <w:r>
        <w:rPr>
          <w:b/>
          <w:bCs/>
          <w:sz w:val="32"/>
          <w:lang w:bidi="hu-HU"/>
        </w:rPr>
      </w:r>
    </w:p>
    <w:p>
      <w:pPr>
        <w:pStyle w:val="Normal"/>
        <w:rPr>
          <w:b/>
          <w:b/>
          <w:bCs/>
          <w:sz w:val="32"/>
          <w:lang w:bidi="hu-HU"/>
        </w:rPr>
      </w:pPr>
      <w:r>
        <w:rPr>
          <w:b/>
          <w:bCs/>
          <w:sz w:val="32"/>
          <w:lang w:bidi="hu-HU"/>
        </w:rPr>
      </w:r>
    </w:p>
    <w:p>
      <w:pPr>
        <w:pStyle w:val="Normal"/>
        <w:rPr>
          <w:b/>
          <w:b/>
          <w:bCs/>
          <w:sz w:val="32"/>
          <w:lang w:bidi="hu-HU"/>
        </w:rPr>
      </w:pPr>
      <w:r>
        <w:rPr>
          <w:b/>
          <w:bCs/>
          <w:sz w:val="32"/>
          <w:lang w:bidi="hu-HU"/>
        </w:rPr>
      </w:r>
    </w:p>
    <w:p>
      <w:pPr>
        <w:pStyle w:val="Normal"/>
        <w:jc w:val="center"/>
        <w:rPr>
          <w:b/>
          <w:b/>
          <w:bCs/>
          <w:sz w:val="32"/>
          <w:lang w:bidi="hu-HU"/>
        </w:rPr>
      </w:pPr>
      <w:r>
        <w:rPr>
          <w:b/>
          <w:bCs/>
          <w:sz w:val="32"/>
          <w:lang w:bidi="hu-HU"/>
        </w:rPr>
        <w:t>A</w:t>
      </w:r>
    </w:p>
    <w:p>
      <w:pPr>
        <w:pStyle w:val="Normal"/>
        <w:jc w:val="center"/>
        <w:rPr>
          <w:b/>
          <w:b/>
          <w:bCs/>
          <w:sz w:val="32"/>
          <w:lang w:bidi="hu-HU"/>
        </w:rPr>
      </w:pPr>
      <w:r>
        <w:rPr>
          <w:b/>
          <w:bCs/>
          <w:sz w:val="32"/>
          <w:lang w:bidi="hu-HU"/>
        </w:rPr>
        <w:t>Cinege Alapfokú Művészeti Iskola</w:t>
      </w:r>
    </w:p>
    <w:p>
      <w:pPr>
        <w:pStyle w:val="Normal"/>
        <w:jc w:val="center"/>
        <w:rPr>
          <w:b/>
          <w:b/>
          <w:bCs/>
          <w:sz w:val="32"/>
          <w:lang w:bidi="hu-HU"/>
        </w:rPr>
      </w:pPr>
      <w:r>
        <w:rPr>
          <w:b/>
          <w:bCs/>
          <w:sz w:val="32"/>
          <w:lang w:bidi="hu-HU"/>
        </w:rPr>
        <w:t>Térítési és tandíjfizetési szabályzata</w:t>
      </w:r>
    </w:p>
    <w:p>
      <w:pPr>
        <w:pStyle w:val="Normal"/>
        <w:jc w:val="center"/>
        <w:rPr>
          <w:b/>
          <w:b/>
          <w:bCs/>
          <w:sz w:val="32"/>
          <w:lang w:bidi="hu-HU"/>
        </w:rPr>
      </w:pPr>
      <w:r>
        <w:rPr>
          <w:b/>
          <w:bCs/>
          <w:sz w:val="32"/>
          <w:lang w:bidi="hu-HU"/>
        </w:rPr>
        <w:t>201</w:t>
      </w:r>
      <w:r>
        <w:rPr>
          <w:b/>
          <w:bCs/>
          <w:sz w:val="32"/>
          <w:lang w:bidi="hu-HU"/>
        </w:rPr>
        <w:t>9</w:t>
      </w:r>
      <w:r>
        <w:rPr>
          <w:b/>
          <w:bCs/>
          <w:sz w:val="32"/>
          <w:lang w:bidi="hu-HU"/>
        </w:rPr>
        <w:t>/20</w:t>
      </w:r>
      <w:r>
        <w:rPr>
          <w:b/>
          <w:bCs/>
          <w:sz w:val="32"/>
          <w:lang w:bidi="hu-HU"/>
        </w:rPr>
        <w:t>20</w:t>
      </w:r>
      <w:r>
        <w:rPr>
          <w:b/>
          <w:bCs/>
          <w:sz w:val="32"/>
          <w:lang w:bidi="hu-HU"/>
        </w:rPr>
        <w:t>. tanévtől</w:t>
      </w:r>
    </w:p>
    <w:p>
      <w:pPr>
        <w:pStyle w:val="Normal"/>
        <w:rPr>
          <w:b/>
          <w:b/>
          <w:bCs/>
          <w:sz w:val="32"/>
          <w:lang w:bidi="hu-HU"/>
        </w:rPr>
      </w:pPr>
      <w:r>
        <w:rPr>
          <w:b/>
          <w:bCs/>
          <w:sz w:val="32"/>
          <w:lang w:bidi="hu-HU"/>
        </w:rPr>
      </w:r>
    </w:p>
    <w:p>
      <w:pPr>
        <w:pStyle w:val="Normal"/>
        <w:rPr>
          <w:b/>
          <w:b/>
          <w:bCs/>
          <w:sz w:val="32"/>
          <w:lang w:bidi="hu-HU"/>
        </w:rPr>
      </w:pPr>
      <w:r>
        <w:rPr>
          <w:b/>
          <w:bCs/>
          <w:sz w:val="32"/>
          <w:lang w:bidi="hu-HU"/>
        </w:rPr>
      </w:r>
    </w:p>
    <w:p>
      <w:pPr>
        <w:pStyle w:val="Normal"/>
        <w:rPr>
          <w:b/>
          <w:b/>
          <w:bCs/>
          <w:sz w:val="32"/>
          <w:lang w:bidi="hu-HU"/>
        </w:rPr>
      </w:pPr>
      <w:r>
        <w:rPr>
          <w:b/>
          <w:bCs/>
          <w:sz w:val="32"/>
          <w:lang w:bidi="hu-HU"/>
        </w:rPr>
      </w:r>
      <w:r>
        <w:br w:type="page"/>
      </w:r>
    </w:p>
    <w:p>
      <w:pPr>
        <w:pStyle w:val="Normal"/>
        <w:jc w:val="both"/>
        <w:rPr>
          <w:b/>
          <w:b/>
          <w:bCs/>
          <w:lang w:bidi="hu-HU"/>
        </w:rPr>
      </w:pPr>
      <w:bookmarkStart w:id="2" w:name="bookmark4"/>
      <w:r>
        <w:rPr>
          <w:b/>
          <w:bCs/>
          <w:lang w:bidi="hu-HU"/>
        </w:rPr>
        <w:t>Általános rendelkezések</w:t>
      </w:r>
      <w:bookmarkEnd w:id="2"/>
    </w:p>
    <w:p>
      <w:pPr>
        <w:pStyle w:val="Normal"/>
        <w:jc w:val="both"/>
        <w:rPr>
          <w:b/>
          <w:b/>
          <w:bCs/>
          <w:lang w:bidi="hu-HU"/>
        </w:rPr>
      </w:pPr>
      <w:bookmarkStart w:id="3" w:name="bookmark6"/>
      <w:r>
        <w:rPr>
          <w:b/>
          <w:bCs/>
          <w:lang w:bidi="hu-HU"/>
        </w:rPr>
        <w:t>A Szabályzat célja</w:t>
      </w:r>
      <w:bookmarkEnd w:id="3"/>
    </w:p>
    <w:p>
      <w:pPr>
        <w:pStyle w:val="Normal"/>
        <w:jc w:val="both"/>
        <w:rPr>
          <w:lang w:bidi="hu-HU"/>
        </w:rPr>
      </w:pPr>
      <w:r>
        <w:rPr>
          <w:lang w:bidi="hu-HU"/>
        </w:rPr>
        <w:t>A Szabályzat célja, hogy részletesen meghatározza a Cinege Alapfokú Művészeti Iskolában (a továbbiakban: Iskola) a térítési díj és a tandíj fizetésének módját, a tanulmányi eredményre és a szociális helyzetre tekintettel adható engedményeket.</w:t>
      </w:r>
    </w:p>
    <w:p>
      <w:pPr>
        <w:pStyle w:val="Normal"/>
        <w:jc w:val="both"/>
        <w:rPr>
          <w:b/>
          <w:b/>
          <w:bCs/>
          <w:lang w:bidi="hu-HU"/>
        </w:rPr>
      </w:pPr>
      <w:r>
        <w:rPr>
          <w:b/>
          <w:bCs/>
          <w:lang w:bidi="hu-HU"/>
        </w:rPr>
        <w:t>A Szabályzat hatálya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>A szabályzat hatálya kiterjed a Cinege Alapfokú Művészeti Iskolával tanulói jogviszonyban álló tanulókra.</w:t>
      </w:r>
    </w:p>
    <w:p>
      <w:pPr>
        <w:pStyle w:val="Normal"/>
        <w:jc w:val="both"/>
        <w:rPr>
          <w:b/>
          <w:b/>
          <w:bCs/>
          <w:iCs/>
          <w:lang w:bidi="hu-HU"/>
        </w:rPr>
      </w:pPr>
      <w:r>
        <w:rPr>
          <w:b/>
          <w:bCs/>
          <w:iCs/>
          <w:lang w:bidi="hu-HU"/>
        </w:rPr>
      </w:r>
    </w:p>
    <w:p>
      <w:pPr>
        <w:pStyle w:val="Normal"/>
        <w:jc w:val="both"/>
        <w:rPr>
          <w:b/>
          <w:b/>
          <w:bCs/>
          <w:iCs/>
          <w:lang w:bidi="hu-HU"/>
        </w:rPr>
      </w:pPr>
      <w:r>
        <w:rPr>
          <w:b/>
          <w:bCs/>
          <w:iCs/>
          <w:lang w:bidi="hu-HU"/>
        </w:rPr>
        <w:t>Értelmező rendelkezések</w:t>
      </w:r>
    </w:p>
    <w:p>
      <w:pPr>
        <w:pStyle w:val="Normal"/>
        <w:numPr>
          <w:ilvl w:val="0"/>
          <w:numId w:val="1"/>
        </w:numPr>
        <w:jc w:val="both"/>
        <w:rPr>
          <w:iCs/>
          <w:lang w:bidi="hu-HU"/>
        </w:rPr>
      </w:pPr>
      <w:r>
        <w:rPr>
          <w:iCs/>
          <w:lang w:bidi="hu-HU"/>
        </w:rPr>
        <w:t>Üzemeltetési anyagok: olyan vásárolt készletek, amelyeket az intézmény az oktatás, képzés során termék előállításához vagy szolgáltatás nyújtásához való felhasználás céljából, közvetített szolgáltatáshoz szerez be. Az oktatás, képzés tevékenységéhez közvetlenül felhasznált anyagok (pl.: nyomtatási, sokszorosítási feladatokkal összefüggő anyagok, irodai papír és nyomtatványok) mindazon anyagok beszerzése, amelyek nem számolhatók el szakmai anyag beszerzéseként.</w:t>
      </w:r>
    </w:p>
    <w:p>
      <w:pPr>
        <w:pStyle w:val="Normal"/>
        <w:numPr>
          <w:ilvl w:val="0"/>
          <w:numId w:val="1"/>
        </w:numPr>
        <w:jc w:val="both"/>
        <w:rPr>
          <w:iCs/>
          <w:lang w:bidi="hu-HU"/>
        </w:rPr>
      </w:pPr>
      <w:r>
        <w:rPr>
          <w:iCs/>
          <w:lang w:bidi="hu-HU"/>
        </w:rPr>
        <w:t>Szakmai anyag: az oktatás, képzés tevékenységét segítő eszközök.</w:t>
      </w:r>
    </w:p>
    <w:p>
      <w:pPr>
        <w:pStyle w:val="Normal"/>
        <w:numPr>
          <w:ilvl w:val="0"/>
          <w:numId w:val="1"/>
        </w:numPr>
        <w:jc w:val="both"/>
        <w:rPr>
          <w:iCs/>
          <w:lang w:bidi="hu-HU"/>
        </w:rPr>
      </w:pPr>
      <w:r>
        <w:rPr>
          <w:iCs/>
          <w:lang w:bidi="hu-HU"/>
        </w:rPr>
        <w:t>Szakmai feladat: az a pedagógiai tevékenység, amellyel összefüggésben a tanulót térítési díj, illetve tandíjfizetési kötelezettség terheli.</w:t>
      </w:r>
    </w:p>
    <w:p>
      <w:pPr>
        <w:pStyle w:val="Normal"/>
        <w:numPr>
          <w:ilvl w:val="0"/>
          <w:numId w:val="1"/>
        </w:numPr>
        <w:jc w:val="both"/>
        <w:rPr>
          <w:iCs/>
          <w:lang w:bidi="hu-HU"/>
        </w:rPr>
      </w:pPr>
      <w:r>
        <w:rPr>
          <w:iCs/>
          <w:lang w:bidi="hu-HU"/>
        </w:rPr>
        <w:t>Szakmai feladatra jutó folyó kiadások: az adott feladatra elszámolható működési célú kiadások feladattal arányos része.</w:t>
      </w:r>
    </w:p>
    <w:p>
      <w:pPr>
        <w:pStyle w:val="Normal"/>
        <w:numPr>
          <w:ilvl w:val="0"/>
          <w:numId w:val="1"/>
        </w:numPr>
        <w:jc w:val="both"/>
        <w:rPr>
          <w:iCs/>
          <w:lang w:bidi="hu-HU"/>
        </w:rPr>
      </w:pPr>
      <w:r>
        <w:rPr>
          <w:iCs/>
          <w:lang w:bidi="hu-HU"/>
        </w:rPr>
        <w:t>Szolgáltatási kiadások: az intézmény üzemeltetéséhez kapcsolódó szolgáltatások vételára (pl. közüzemi díjak, kommunikációs szolgáltatások).</w:t>
      </w:r>
    </w:p>
    <w:p>
      <w:pPr>
        <w:pStyle w:val="Normal"/>
        <w:numPr>
          <w:ilvl w:val="0"/>
          <w:numId w:val="1"/>
        </w:numPr>
        <w:jc w:val="both"/>
        <w:rPr>
          <w:iCs/>
          <w:lang w:bidi="hu-HU"/>
        </w:rPr>
      </w:pPr>
      <w:r>
        <w:rPr>
          <w:iCs/>
          <w:lang w:bidi="hu-HU"/>
        </w:rPr>
        <w:t>Tandíj: költségtérítés, tanulói díjfizetési kötelezettség, a szeptemberi tanévkezdéskor szakmai alapfeladatokra számított folyó kiadások alapján az egy tanulóra számított összeg. Az oktatás, képzés teljes költségének megfizetése.</w:t>
      </w:r>
    </w:p>
    <w:p>
      <w:pPr>
        <w:pStyle w:val="Normal"/>
        <w:numPr>
          <w:ilvl w:val="0"/>
          <w:numId w:val="1"/>
        </w:numPr>
        <w:jc w:val="both"/>
        <w:rPr>
          <w:iCs/>
          <w:lang w:bidi="hu-HU"/>
        </w:rPr>
      </w:pPr>
      <w:r>
        <w:rPr>
          <w:iCs/>
          <w:lang w:bidi="hu-HU"/>
        </w:rPr>
        <w:t>Térítési díj: tanulói díjfizetési kötelezettség, a szeptemberi tanévkezdéskor szakmai alapfeladatokra számított folyó kiadások alapján az egy tanulóra számított összeg alapján részleges hozzájárulás az oktatás, képzés költségeihez.</w:t>
      </w:r>
    </w:p>
    <w:p>
      <w:pPr>
        <w:pStyle w:val="Normal"/>
        <w:numPr>
          <w:ilvl w:val="0"/>
          <w:numId w:val="1"/>
        </w:numPr>
        <w:jc w:val="both"/>
        <w:rPr>
          <w:iCs/>
          <w:lang w:bidi="hu-HU"/>
        </w:rPr>
      </w:pPr>
      <w:r>
        <w:rPr>
          <w:iCs/>
          <w:lang w:bidi="hu-HU"/>
        </w:rPr>
        <w:t>Vizsgadíj: a vizsga megszervezésével, lebonyolításával kapcsolatban felmerülő, a feladatra elszámolható működési célú kiadások (folyó kiadás) egy vizsgázóra jutó hányada.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</w:r>
    </w:p>
    <w:p>
      <w:pPr>
        <w:pStyle w:val="Normal"/>
        <w:jc w:val="both"/>
        <w:rPr>
          <w:b/>
          <w:b/>
          <w:iCs/>
          <w:lang w:bidi="hu-HU"/>
        </w:rPr>
      </w:pPr>
      <w:r>
        <w:rPr>
          <w:b/>
          <w:iCs/>
          <w:lang w:bidi="hu-HU"/>
        </w:rPr>
        <w:t>Jogszabályi háttér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>Az alapfokú művészetoktatásban a térítési díjak és tandíjakra vonatkozó rendelkezéseket nemzeti köznevelésről szóló 2011. évi CXC. tv, valamint a nemzeti köznevelésről szóló törvény végrehajtásáról szóló 229/2012. (VIII. 28.) Kormányrendelet tartalmazza. Az intézményekben a díjak megállapítására, az adható kedvezményekre ezen jogszabályok rendelkezései az irányadók, a fenntartó ezek figyelembevételével határozza meg azokat a szabályokat, amelyek alapján az intézményvezető megállapítja a fizetési kötelezettséget, a fizetési kötelezettség alól való mentességet az egyes tanulók részére.</w:t>
      </w:r>
    </w:p>
    <w:p>
      <w:pPr>
        <w:pStyle w:val="Normal"/>
        <w:jc w:val="both"/>
        <w:rPr>
          <w:b/>
          <w:b/>
          <w:iCs/>
          <w:lang w:bidi="hu-HU"/>
        </w:rPr>
      </w:pPr>
      <w:r>
        <w:rPr>
          <w:b/>
          <w:iCs/>
          <w:lang w:bidi="hu-HU"/>
        </w:rPr>
        <w:t>Jogszabályok:</w:t>
      </w:r>
    </w:p>
    <w:p>
      <w:pPr>
        <w:pStyle w:val="Normal"/>
        <w:rPr>
          <w:bCs/>
        </w:rPr>
      </w:pPr>
      <w:r>
        <w:rPr>
          <w:bCs/>
        </w:rPr>
        <w:t>2011. évi CXC. törvény a nemzeti köznevelésről (továbbiakban NKT.)</w:t>
      </w:r>
    </w:p>
    <w:p>
      <w:pPr>
        <w:pStyle w:val="Normal"/>
        <w:jc w:val="both"/>
        <w:rPr>
          <w:bCs/>
          <w:iCs/>
          <w:lang w:bidi="hu-HU"/>
        </w:rPr>
      </w:pPr>
      <w:r>
        <w:rPr>
          <w:bCs/>
          <w:iCs/>
          <w:lang w:bidi="hu-HU"/>
        </w:rPr>
        <w:t>229/2012. (VIII. 28.) Korm. rendelet a nemzeti köznevelésről szóló törvény végrehajtásáról (továbbiakban VHR.)</w:t>
      </w:r>
    </w:p>
    <w:p>
      <w:pPr>
        <w:pStyle w:val="Normal"/>
        <w:jc w:val="both"/>
        <w:rPr>
          <w:bCs/>
          <w:iCs/>
          <w:lang w:bidi="hu-HU"/>
        </w:rPr>
      </w:pPr>
      <w:r>
        <w:rPr>
          <w:bCs/>
          <w:iCs/>
          <w:lang w:bidi="hu-HU"/>
        </w:rPr>
        <w:t>2017. évi C. törvény Magyarország 2018. évi központi költségvetéséről (továbbiakban: KT.)</w:t>
      </w:r>
    </w:p>
    <w:p>
      <w:pPr>
        <w:pStyle w:val="Normal"/>
        <w:jc w:val="both"/>
        <w:rPr>
          <w:b/>
          <w:b/>
          <w:iCs/>
          <w:lang w:bidi="hu-HU"/>
        </w:rPr>
      </w:pPr>
      <w:r>
        <w:rPr>
          <w:b/>
          <w:iCs/>
          <w:lang w:bidi="hu-HU"/>
        </w:rPr>
        <w:t>331/2006. (XII. 23.) Korm. rendelet a gyermekvédelmi és gyámügyi feladat- és hatáskörök ellátásáról, valamint a gyámhatóság szervezetéről és illetékességéről (GYÁR.)</w:t>
      </w:r>
    </w:p>
    <w:p>
      <w:pPr>
        <w:pStyle w:val="Normal"/>
        <w:jc w:val="both"/>
        <w:rPr>
          <w:b/>
          <w:b/>
          <w:iCs/>
          <w:lang w:bidi="hu-HU"/>
        </w:rPr>
      </w:pPr>
      <w:r>
        <w:rPr>
          <w:b/>
          <w:iCs/>
          <w:lang w:bidi="hu-HU"/>
        </w:rPr>
        <w:t>Alapelvek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>Az alapfokú művészetoktatásban a szolgáltatások igénybevétele térítési díj vagy tandíj fizetéséhez kötött. Ezt az alábbi rendelkezései írják elő.</w:t>
      </w:r>
    </w:p>
    <w:p>
      <w:pPr>
        <w:pStyle w:val="Normal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NKT „16. § </w:t>
      </w:r>
      <w:r>
        <w:rPr>
          <w:bCs/>
          <w:sz w:val="18"/>
          <w:szCs w:val="18"/>
        </w:rPr>
        <w:t>(3) Az állami fenntartású és az állami feladatellátásban részt vevő alapfokú művészeti iskolában heti hat tanórai foglalkozás biztosított térítési díj ellenében a főtárgy gyakorlatának és elméletének elsajátításához, valamint tanévenkénti egy meghallgatás és egy művészi előadás, továbbá e szolgáltatások körében az iskola létesítményeinek, felszereléseinek használata. (…).”</w:t>
      </w:r>
    </w:p>
    <w:p>
      <w:pPr>
        <w:pStyle w:val="Normal"/>
        <w:jc w:val="both"/>
        <w:rPr>
          <w:iCs/>
          <w:sz w:val="18"/>
          <w:szCs w:val="18"/>
          <w:lang w:bidi="hu-HU"/>
        </w:rPr>
      </w:pPr>
      <w:r>
        <w:rPr>
          <w:b/>
          <w:bCs/>
          <w:iCs/>
          <w:sz w:val="18"/>
          <w:szCs w:val="18"/>
          <w:lang w:bidi="hu-HU"/>
        </w:rPr>
        <w:t>VHR „</w:t>
      </w:r>
      <w:r>
        <w:rPr>
          <w:b/>
          <w:iCs/>
          <w:sz w:val="18"/>
          <w:szCs w:val="18"/>
          <w:lang w:bidi="hu-HU"/>
        </w:rPr>
        <w:t xml:space="preserve">„34. § </w:t>
      </w:r>
      <w:r>
        <w:rPr>
          <w:iCs/>
          <w:sz w:val="18"/>
          <w:szCs w:val="18"/>
          <w:lang w:bidi="hu-HU"/>
        </w:rPr>
        <w:t>(1) Az állami szerv, az állami intézményfenntartó központ, az állami felsőoktatás intézmény, az önkormányzat, az önkormányzati társulás által fenntartott köznevelési intézményekben térítési díj ellenében igénybe vehető szolgáltatások:</w:t>
      </w:r>
    </w:p>
    <w:p>
      <w:pPr>
        <w:pStyle w:val="Normal"/>
        <w:jc w:val="both"/>
        <w:rPr>
          <w:i/>
          <w:i/>
          <w:iCs/>
          <w:sz w:val="18"/>
          <w:szCs w:val="18"/>
          <w:lang w:bidi="hu-HU"/>
        </w:rPr>
      </w:pPr>
      <w:r>
        <w:rPr>
          <w:i/>
          <w:iCs/>
          <w:sz w:val="18"/>
          <w:szCs w:val="18"/>
          <w:lang w:bidi="hu-HU"/>
        </w:rPr>
        <w:t xml:space="preserve">b) alapfokú művészetoktatásban a heti hat tanórai foglalkozás a főtárgy gyakorlatának és elméletének elsajátításához, valamint tanévenkénti egy meghallgatás és egy művészi előadás, valamint e szolgáltatások körében az iskola létesítményeinek, felszereléseinek használata, továbbá az állami vizsga és a tanulmányok alatti vizsga, </w:t>
      </w:r>
    </w:p>
    <w:p>
      <w:pPr>
        <w:pStyle w:val="Normal"/>
        <w:jc w:val="both"/>
        <w:rPr>
          <w:i/>
          <w:i/>
          <w:iCs/>
          <w:sz w:val="18"/>
          <w:szCs w:val="18"/>
          <w:lang w:bidi="hu-HU"/>
        </w:rPr>
      </w:pPr>
      <w:r>
        <w:rPr>
          <w:i/>
          <w:iCs/>
          <w:sz w:val="18"/>
          <w:szCs w:val="18"/>
          <w:lang w:bidi="hu-HU"/>
        </w:rPr>
        <w:t>c) a nem tanköteles tanulónak az iskolában a tanulmányi követelmények nem teljesítése miatt az évfolyam második alkalommal történő megismétlésekor a 33. § (1) bekezdés b) és c) pontjában meghatározott köznevelési közfeladatok, (…)</w:t>
      </w:r>
    </w:p>
    <w:p>
      <w:pPr>
        <w:pStyle w:val="Normal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36. § </w:t>
      </w:r>
      <w:r>
        <w:rPr>
          <w:sz w:val="18"/>
          <w:szCs w:val="18"/>
        </w:rPr>
        <w:t>(1) Az állami szerv, az állami intézményfenntartó központ, az állami felsőoktatási intézmény, az önkormányzat és az önkormányzati társulás által fenntartott köznevelési intézményekben tandíj megfizetése mellett igénybe vehető szolgáltatások:</w:t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iCs/>
          <w:sz w:val="18"/>
          <w:szCs w:val="18"/>
        </w:rPr>
        <w:t xml:space="preserve">a) </w:t>
      </w:r>
      <w:r>
        <w:rPr>
          <w:i/>
          <w:sz w:val="18"/>
          <w:szCs w:val="18"/>
        </w:rPr>
        <w:t>alapfokú művészetoktatásban a heti hat tanórát meghaladó tanórai foglalkozás, a tanulmányi követelmények nem teljesítése miatt az évfolyam második vagy további alkalommal történő megismétlése, továbbá minden tanórai foglalkozás annak, aki nem tanköteles, feltéve, hogy nem áll tanulói jogviszonyban a nappali rendszerű vagy nappali oktatás munkarendje szerinti oktatásban, valamint annak, aki a huszonkettedik életévét betöltötte,</w:t>
      </w:r>
    </w:p>
    <w:p>
      <w:pPr>
        <w:pStyle w:val="Normal"/>
        <w:jc w:val="both"/>
        <w:rPr>
          <w:i/>
          <w:i/>
          <w:iCs/>
          <w:sz w:val="18"/>
          <w:szCs w:val="18"/>
          <w:lang w:bidi="hu-HU"/>
        </w:rPr>
      </w:pPr>
      <w:r>
        <w:rPr>
          <w:i/>
          <w:iCs/>
          <w:sz w:val="18"/>
          <w:szCs w:val="18"/>
        </w:rPr>
        <w:t xml:space="preserve">b) </w:t>
      </w:r>
      <w:r>
        <w:rPr>
          <w:i/>
          <w:sz w:val="18"/>
          <w:szCs w:val="18"/>
        </w:rPr>
        <w:t>a nevelési-oktatási intézményben a pedagógiai programhoz nem kapcsolódó nevelés és oktatás, valamint az ezzel összefüggő más szolgáltatás, (…)</w:t>
      </w:r>
    </w:p>
    <w:p>
      <w:pPr>
        <w:pStyle w:val="Normal"/>
        <w:jc w:val="both"/>
        <w:rPr>
          <w:iCs/>
          <w:sz w:val="18"/>
          <w:szCs w:val="18"/>
          <w:lang w:bidi="hu-HU"/>
        </w:rPr>
      </w:pPr>
      <w:r>
        <w:rPr>
          <w:b/>
          <w:bCs/>
          <w:iCs/>
          <w:sz w:val="18"/>
          <w:szCs w:val="18"/>
          <w:lang w:bidi="hu-HU"/>
        </w:rPr>
        <w:t xml:space="preserve">37. § </w:t>
      </w:r>
      <w:r>
        <w:rPr>
          <w:iCs/>
          <w:sz w:val="18"/>
          <w:szCs w:val="18"/>
          <w:lang w:bidi="hu-HU"/>
        </w:rPr>
        <w:t>(1) Az egyházi köznevelési intézmény és a magán köznevelési intézmény szolgáltatásainak igénybevételét az Nkt. 31. § (1) bekezdés c) pontja szerinti fizetési kötelezettséghez kötheti, (…).”</w:t>
      </w:r>
    </w:p>
    <w:p>
      <w:pPr>
        <w:pStyle w:val="Normal"/>
        <w:jc w:val="both"/>
        <w:rPr>
          <w:bCs/>
          <w:iCs/>
          <w:sz w:val="18"/>
          <w:szCs w:val="18"/>
          <w:lang w:bidi="hu-HU"/>
        </w:rPr>
      </w:pPr>
      <w:r>
        <w:rPr>
          <w:b/>
          <w:iCs/>
          <w:sz w:val="18"/>
          <w:szCs w:val="18"/>
          <w:lang w:bidi="hu-HU"/>
        </w:rPr>
        <w:t xml:space="preserve">KT </w:t>
      </w:r>
      <w:r>
        <w:rPr>
          <w:bCs/>
          <w:i/>
          <w:iCs/>
          <w:sz w:val="18"/>
          <w:szCs w:val="18"/>
          <w:u w:val="single"/>
          <w:lang w:bidi="hu-HU"/>
        </w:rPr>
        <w:t>„7. melléklet a 2017. évi C. törvényhez</w:t>
      </w:r>
    </w:p>
    <w:p>
      <w:pPr>
        <w:pStyle w:val="Normal"/>
        <w:spacing w:before="0" w:after="60"/>
        <w:jc w:val="both"/>
        <w:rPr>
          <w:bCs/>
          <w:iCs/>
          <w:sz w:val="18"/>
          <w:szCs w:val="18"/>
          <w:lang w:bidi="hu-HU"/>
        </w:rPr>
      </w:pPr>
      <w:r>
        <w:rPr>
          <w:bCs/>
          <w:iCs/>
          <w:sz w:val="18"/>
          <w:szCs w:val="18"/>
          <w:lang w:bidi="hu-HU"/>
        </w:rPr>
        <w:t>VI. KIEGÉSZÍTŐ SZABÁLYOK</w:t>
      </w:r>
    </w:p>
    <w:p>
      <w:pPr>
        <w:pStyle w:val="Normal"/>
        <w:spacing w:before="0" w:after="60"/>
        <w:jc w:val="both"/>
        <w:rPr>
          <w:iCs/>
          <w:sz w:val="18"/>
          <w:szCs w:val="18"/>
          <w:lang w:bidi="hu-HU"/>
        </w:rPr>
      </w:pPr>
      <w:r>
        <w:rPr>
          <w:iCs/>
          <w:sz w:val="18"/>
          <w:szCs w:val="18"/>
          <w:lang w:bidi="hu-HU"/>
        </w:rPr>
        <w:t>13. Ha a tanulónak térítési díjat kell fizetnie, az átlagbér alapú támogatás és a működési támogatás megállapításánál és az arról történő elszámolásnál a tanuló akkor vehető figyelembe, ha az iskola, a kollégium előírta és beszedte azt, függetlenül attól, hogy az adott köznevelési intézmény, valamint fenntartója állami feladatellátásban részt vesz az vagy sem. (…)”</w:t>
      </w:r>
    </w:p>
    <w:p>
      <w:pPr>
        <w:pStyle w:val="Normal"/>
        <w:jc w:val="both"/>
        <w:rPr>
          <w:b/>
          <w:b/>
          <w:iCs/>
          <w:lang w:bidi="hu-HU"/>
        </w:rPr>
      </w:pPr>
      <w:r>
        <w:rPr>
          <w:b/>
          <w:iCs/>
          <w:lang w:bidi="hu-HU"/>
        </w:rPr>
      </w:r>
    </w:p>
    <w:p>
      <w:pPr>
        <w:pStyle w:val="Normal"/>
        <w:jc w:val="both"/>
        <w:rPr>
          <w:b/>
          <w:b/>
          <w:iCs/>
          <w:lang w:bidi="hu-HU"/>
        </w:rPr>
      </w:pPr>
      <w:r>
        <w:rPr>
          <w:b/>
          <w:iCs/>
          <w:lang w:bidi="hu-HU"/>
        </w:rPr>
        <w:t>A térítési díj és a tandíj fizetési kötelezettség, az adható kedvezmények, a fizetési kötelezettség alóli mentesség megállapítása</w:t>
      </w:r>
    </w:p>
    <w:p>
      <w:pPr>
        <w:pStyle w:val="Normal"/>
        <w:jc w:val="both"/>
        <w:rPr>
          <w:bCs/>
        </w:rPr>
      </w:pPr>
      <w:r>
        <w:rPr>
          <w:bCs/>
        </w:rPr>
        <w:t>A térítési díj, tandíj megállapításának szabályait, valamint a szociális alapon adható kedvezményeit az Iskola fenntartója határozza meg.</w:t>
      </w:r>
      <w:r>
        <w:rPr>
          <w:iCs/>
          <w:lang w:bidi="hu-HU"/>
        </w:rPr>
        <w:t xml:space="preserve"> </w:t>
      </w:r>
    </w:p>
    <w:p>
      <w:pPr>
        <w:pStyle w:val="Normal"/>
        <w:jc w:val="both"/>
        <w:rPr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NKT. „83. § </w:t>
      </w:r>
      <w:r>
        <w:rPr>
          <w:iCs/>
          <w:sz w:val="18"/>
          <w:szCs w:val="18"/>
        </w:rPr>
        <w:t>(2) A fenntartó</w:t>
      </w:r>
    </w:p>
    <w:p>
      <w:pPr>
        <w:pStyle w:val="Normal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c) </w:t>
      </w:r>
      <w:r>
        <w:rPr>
          <w:sz w:val="18"/>
          <w:szCs w:val="18"/>
        </w:rPr>
        <w:t>meghatározza a köznevelési intézmény költségvetését, továbbá a kérhető térítési díj és tandíj megállapításának szabályait, a szociális alapon adható kedvezmények feltételeit,”</w:t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VHR. „37. § </w:t>
      </w:r>
      <w:r>
        <w:rPr>
          <w:sz w:val="18"/>
          <w:szCs w:val="18"/>
        </w:rPr>
        <w:t>(3) Az egyházi köznevelési intézmény és a magán köznevelési intézmény fenntartója - az (1) bekezdésben foglaltakra figyelemmel - meghatározza azokat a szabályokat, amelyek alapján a köznevelési intézmény vezetője dönt a tandíj mértékéről, az adható kedvezményekről és a befizetés módjáról.”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>A térítési díj, tandíj fizetési kötelezettség, ez alóli mentesség megállapításához a szülőnek nyilatkoznia kell ezzel összefüggésben:</w:t>
      </w:r>
    </w:p>
    <w:p>
      <w:pPr>
        <w:pStyle w:val="Normal"/>
        <w:jc w:val="both"/>
        <w:rPr>
          <w:iCs/>
          <w:sz w:val="18"/>
          <w:szCs w:val="18"/>
          <w:lang w:bidi="hu-HU"/>
        </w:rPr>
      </w:pPr>
      <w:r>
        <w:rPr>
          <w:b/>
          <w:bCs/>
          <w:sz w:val="18"/>
          <w:szCs w:val="18"/>
        </w:rPr>
        <w:t xml:space="preserve">VHR. „37. § </w:t>
      </w:r>
      <w:r>
        <w:rPr>
          <w:iCs/>
          <w:sz w:val="18"/>
          <w:szCs w:val="18"/>
          <w:lang w:bidi="hu-HU"/>
        </w:rPr>
        <w:t>(4) Az egyházi köznevelési intézmény és a magán köznevelési intézmény, ha a tanuló alapfokú művészetoktatásban, illetve szakképesítés megszerzésére irányuló képzésben vesz részt, beiratkozáskor köteles beszerezni a tanuló, kiskorú tanuló esetén a szülő írásbeli nyilatkozatát azzal összefüggésben, hogy meg lehessen állapítani, hogy a tanuló az érintett képzést ingyenesen, térítési díj vagy tandíj megfizetése mellett jogosult igénybe venni."</w:t>
      </w:r>
    </w:p>
    <w:p>
      <w:pPr>
        <w:pStyle w:val="Normal"/>
        <w:jc w:val="both"/>
        <w:rPr>
          <w:b/>
          <w:b/>
          <w:bCs/>
          <w:iCs/>
          <w:lang w:bidi="hu-HU"/>
        </w:rPr>
      </w:pPr>
      <w:r>
        <w:rPr>
          <w:bCs/>
          <w:iCs/>
          <w:lang w:bidi="hu-HU"/>
        </w:rPr>
        <w:t>Az alapfokú művészetoktatásban mentesül a fizetési kötelezettségek alól a halmozottan hátrányos helyzetű, a hátrányos helyzetű tanuló, a testi, érzékszervi (látási, hallási), középsúlyos és enyhe értelmi fogyatékos, továbbá az autista tanuló.</w:t>
      </w:r>
    </w:p>
    <w:p>
      <w:pPr>
        <w:pStyle w:val="Normal"/>
        <w:jc w:val="both"/>
        <w:rPr>
          <w:bCs/>
          <w:iCs/>
          <w:sz w:val="18"/>
          <w:szCs w:val="18"/>
          <w:lang w:bidi="hu-HU"/>
        </w:rPr>
      </w:pPr>
      <w:r>
        <w:rPr>
          <w:b/>
          <w:bCs/>
          <w:iCs/>
          <w:sz w:val="18"/>
          <w:szCs w:val="18"/>
          <w:lang w:bidi="hu-HU"/>
        </w:rPr>
        <w:t xml:space="preserve">NKT „16. § </w:t>
      </w:r>
      <w:r>
        <w:rPr>
          <w:bCs/>
          <w:iCs/>
          <w:sz w:val="18"/>
          <w:szCs w:val="18"/>
          <w:lang w:bidi="hu-HU"/>
        </w:rPr>
        <w:t>(3) (…) Minden esetben ingyenes a halmozottan hátrányos helyzetű, a hátrányos helyzetű tanuló, a testi, érzékszervi (látási, hallási), középsúlyos és enyhe értelmi fogyatékos, továbbá az autista tanuló részére az első alapfokú művészetoktatásban való részvétel.”</w:t>
      </w:r>
    </w:p>
    <w:p>
      <w:pPr>
        <w:pStyle w:val="Normal"/>
        <w:jc w:val="both"/>
        <w:rPr>
          <w:bCs/>
          <w:iCs/>
          <w:lang w:bidi="hu-HU"/>
        </w:rPr>
      </w:pPr>
      <w:r>
        <w:rPr>
          <w:bCs/>
          <w:iCs/>
          <w:lang w:bidi="hu-HU"/>
        </w:rPr>
        <w:t xml:space="preserve">A hátrányos és halmozottan helyzet megállapítása a települési önkormányzat jegyzőjének feladata, hatásköre, ennek tényét határozatban állapítja meg. </w:t>
      </w:r>
    </w:p>
    <w:p>
      <w:pPr>
        <w:pStyle w:val="Normal"/>
        <w:jc w:val="both"/>
        <w:rPr>
          <w:iCs/>
          <w:sz w:val="18"/>
          <w:szCs w:val="18"/>
          <w:lang w:bidi="hu-HU"/>
        </w:rPr>
      </w:pPr>
      <w:r>
        <w:rPr>
          <w:b/>
          <w:bCs/>
          <w:iCs/>
          <w:sz w:val="18"/>
          <w:szCs w:val="18"/>
          <w:lang w:bidi="hu-HU"/>
        </w:rPr>
        <w:t xml:space="preserve">GYÁR. „3. § </w:t>
      </w:r>
      <w:r>
        <w:rPr>
          <w:iCs/>
          <w:sz w:val="18"/>
          <w:szCs w:val="18"/>
          <w:lang w:bidi="hu-HU"/>
        </w:rPr>
        <w:t xml:space="preserve">(1) A települési önkormányzat jegyzője </w:t>
      </w:r>
      <w:r>
        <w:rPr>
          <w:i/>
          <w:iCs/>
          <w:sz w:val="18"/>
          <w:szCs w:val="18"/>
          <w:lang w:bidi="hu-HU"/>
        </w:rPr>
        <w:t>(…)</w:t>
      </w:r>
    </w:p>
    <w:p>
      <w:pPr>
        <w:pStyle w:val="Normal"/>
        <w:jc w:val="both"/>
        <w:rPr>
          <w:iCs/>
          <w:sz w:val="18"/>
          <w:szCs w:val="18"/>
          <w:lang w:bidi="hu-HU"/>
        </w:rPr>
      </w:pPr>
      <w:r>
        <w:rPr>
          <w:i/>
          <w:iCs/>
          <w:sz w:val="18"/>
          <w:szCs w:val="18"/>
          <w:lang w:bidi="hu-HU"/>
        </w:rPr>
        <w:t>i)</w:t>
      </w:r>
      <w:r>
        <w:fldChar w:fldCharType="begin"/>
      </w:r>
      <w:r>
        <w:rPr>
          <w:rStyle w:val="Internethivatkozs"/>
          <w:vertAlign w:val="superscript"/>
          <w:sz w:val="18"/>
          <w:i/>
          <w:szCs w:val="18"/>
          <w:iCs/>
        </w:rPr>
        <w:instrText> HYPERLINK "http://net.jogtar.hu/jr/gen/hjegy_doc.cgi?docid=A0600331.KOR" \l "lbj10id91cf" \n Megállapította: 97/2013. (III. 29.) Korm. rendelet 67. §. Hatályos: 2013. IX. 1-től.</w:instrText>
      </w:r>
      <w:r>
        <w:rPr>
          <w:rStyle w:val="Internethivatkozs"/>
          <w:vertAlign w:val="superscript"/>
          <w:sz w:val="18"/>
          <w:i/>
          <w:szCs w:val="18"/>
          <w:iCs/>
        </w:rPr>
        <w:fldChar w:fldCharType="separate"/>
      </w:r>
      <w:r>
        <w:rPr>
          <w:rStyle w:val="Internethivatkozs"/>
          <w:i/>
          <w:iCs/>
          <w:sz w:val="18"/>
          <w:szCs w:val="18"/>
          <w:vertAlign w:val="superscript"/>
          <w:lang w:bidi="hu-HU"/>
        </w:rPr>
        <w:t>11</w:t>
      </w:r>
      <w:r>
        <w:rPr>
          <w:rStyle w:val="Internethivatkozs"/>
          <w:vertAlign w:val="superscript"/>
          <w:sz w:val="18"/>
          <w:i/>
          <w:szCs w:val="18"/>
          <w:iCs/>
        </w:rPr>
        <w:fldChar w:fldCharType="end"/>
      </w:r>
      <w:r>
        <w:rPr>
          <w:i/>
          <w:iCs/>
          <w:sz w:val="18"/>
          <w:szCs w:val="18"/>
          <w:lang w:bidi="hu-HU"/>
        </w:rPr>
        <w:t xml:space="preserve"> </w:t>
      </w:r>
      <w:r>
        <w:rPr>
          <w:iCs/>
          <w:sz w:val="18"/>
          <w:szCs w:val="18"/>
          <w:lang w:bidi="hu-HU"/>
        </w:rPr>
        <w:t>megállapítja a rendszeres gyermekvédelmi kedvezményre jogosult gyermek, nagykorúvá vált gyermek hátrányos és halmozottan hátrányos helyzetének fennállását,”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>A fogyatékosság alapján járó mentességet az intézményvezető a tanulóról kiállított szakvélemény figyelembevételével állapítja meg.</w:t>
      </w:r>
    </w:p>
    <w:p>
      <w:pPr>
        <w:pStyle w:val="Normal"/>
        <w:jc w:val="both"/>
        <w:rPr>
          <w:iCs/>
          <w:lang w:bidi="hu-HU"/>
        </w:rPr>
      </w:pPr>
      <w:r>
        <w:rPr>
          <w:bCs/>
          <w:iCs/>
          <w:lang w:bidi="hu-HU"/>
        </w:rPr>
        <w:t>A fizetési kötelezettségre alóli felmentésre irányuló kérelem esetén a szülőnek, nyilatkozata mellé csatolnia kell a tény fennállásárát igazoló jegyzői határozatot, orvosi szakvéleményt.</w:t>
      </w:r>
    </w:p>
    <w:p>
      <w:pPr>
        <w:pStyle w:val="Normal"/>
        <w:jc w:val="both"/>
        <w:rPr>
          <w:b/>
          <w:b/>
          <w:iCs/>
          <w:lang w:bidi="hu-HU"/>
        </w:rPr>
      </w:pPr>
      <w:r>
        <w:rPr>
          <w:b/>
          <w:iCs/>
          <w:lang w:bidi="hu-HU"/>
        </w:rPr>
        <w:t>A térítési díj, tandíj mértékének megállapítása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>A térítési díj, tandíj mértékét, az adható kedvezményeket az adott tanévre vonatkozóan a 2. számú melléklet tartalmazza.</w:t>
      </w:r>
    </w:p>
    <w:p>
      <w:pPr>
        <w:pStyle w:val="Normal"/>
        <w:jc w:val="both"/>
        <w:rPr>
          <w:b/>
          <w:b/>
          <w:i/>
          <w:i/>
          <w:iCs/>
          <w:lang w:bidi="hu-HU"/>
        </w:rPr>
      </w:pPr>
      <w:r>
        <w:rPr>
          <w:b/>
          <w:i/>
          <w:iCs/>
          <w:lang w:bidi="hu-HU"/>
        </w:rPr>
        <w:t>Térítési díj</w:t>
      </w:r>
    </w:p>
    <w:p>
      <w:pPr>
        <w:pStyle w:val="Normal"/>
        <w:jc w:val="both"/>
        <w:rPr>
          <w:b/>
          <w:b/>
          <w:bCs/>
          <w:iCs/>
          <w:lang w:bidi="hu-HU"/>
        </w:rPr>
      </w:pPr>
      <w:r>
        <w:rPr>
          <w:iCs/>
          <w:lang w:bidi="hu-HU"/>
        </w:rPr>
        <w:t>Az intézményben a tanévre fizetendő térítési díj és a tandíj meghatározásának alapja a szakmai feladatra folyó kiadások egy tanulóra jutó hányada, az 1. számú mellékletben meghatározott díjalap (a továbbiakban: díjalap). A szakmai feladatra folyó kiadások egy tanulóra jutó hányadát minden tanévkezdéskor felül kell vizsgálni, ennek összegét a fenntartó az intézményvezetővel közli.</w:t>
      </w:r>
    </w:p>
    <w:p>
      <w:pPr>
        <w:pStyle w:val="Normal"/>
        <w:jc w:val="both"/>
        <w:rPr>
          <w:iCs/>
          <w:sz w:val="18"/>
          <w:szCs w:val="18"/>
          <w:lang w:bidi="hu-HU"/>
        </w:rPr>
      </w:pPr>
      <w:r>
        <w:rPr>
          <w:b/>
          <w:bCs/>
          <w:iCs/>
          <w:sz w:val="18"/>
          <w:szCs w:val="18"/>
          <w:lang w:bidi="hu-HU"/>
        </w:rPr>
        <w:t xml:space="preserve">VHR 35. § </w:t>
      </w:r>
      <w:r>
        <w:rPr>
          <w:iCs/>
          <w:sz w:val="18"/>
          <w:szCs w:val="18"/>
          <w:lang w:bidi="hu-HU"/>
        </w:rPr>
        <w:t>(1) Az állami szerv, az állami felsőoktatási intézmény, az önkormányzat és az önkormányzati társulás által fenntartott köznevelési intézményekben a térítési díj összege tanévenként, a tanévkezdéskor a szakmai feladatra számított folyó kiadások egy tanulóra jutó hányadának (…)</w:t>
      </w:r>
    </w:p>
    <w:p>
      <w:pPr>
        <w:pStyle w:val="Normal"/>
        <w:jc w:val="both"/>
        <w:rPr>
          <w:i/>
          <w:i/>
          <w:iCs/>
          <w:sz w:val="18"/>
          <w:szCs w:val="18"/>
          <w:lang w:bidi="hu-HU"/>
        </w:rPr>
      </w:pPr>
      <w:r>
        <w:rPr>
          <w:i/>
          <w:iCs/>
          <w:sz w:val="18"/>
          <w:szCs w:val="18"/>
          <w:lang w:bidi="hu-HU"/>
        </w:rPr>
        <w:t>b) öt-húsz százaléka a 34. § (1) bekezdés b) és c) pontjában meghatározott esetben tizennyolc éven aluli tanulóknál,</w:t>
      </w:r>
    </w:p>
    <w:p>
      <w:pPr>
        <w:pStyle w:val="Normal"/>
        <w:jc w:val="both"/>
        <w:rPr>
          <w:i/>
          <w:i/>
          <w:iCs/>
          <w:sz w:val="18"/>
          <w:szCs w:val="18"/>
          <w:lang w:bidi="hu-HU"/>
        </w:rPr>
      </w:pPr>
      <w:r>
        <w:rPr>
          <w:i/>
          <w:iCs/>
          <w:sz w:val="18"/>
          <w:szCs w:val="18"/>
          <w:lang w:bidi="hu-HU"/>
        </w:rPr>
        <w:t>c) tizenöt-negyven százaléka a 34. § (1) bekezdés b) pontjában meghatározott esetben tizennyolc éven felüli, de huszonkettő éven aluli tanulóknál,</w:t>
      </w:r>
    </w:p>
    <w:p>
      <w:pPr>
        <w:pStyle w:val="Normal"/>
        <w:jc w:val="both"/>
        <w:rPr>
          <w:i/>
          <w:i/>
          <w:iCs/>
          <w:sz w:val="18"/>
          <w:szCs w:val="18"/>
          <w:lang w:bidi="hu-HU"/>
        </w:rPr>
      </w:pPr>
      <w:r>
        <w:rPr>
          <w:i/>
          <w:iCs/>
          <w:sz w:val="18"/>
          <w:szCs w:val="18"/>
          <w:lang w:bidi="hu-HU"/>
        </w:rPr>
        <w:t>d) húsz-negyven százaléka a 34. § (1) bekezdés c) pontjában meghatározott esetben. (…)</w:t>
      </w:r>
    </w:p>
    <w:p>
      <w:pPr>
        <w:pStyle w:val="Normal"/>
        <w:jc w:val="both"/>
        <w:rPr>
          <w:b/>
          <w:b/>
          <w:iCs/>
          <w:sz w:val="18"/>
          <w:szCs w:val="18"/>
          <w:lang w:bidi="hu-HU"/>
        </w:rPr>
      </w:pPr>
      <w:r>
        <w:rPr>
          <w:sz w:val="18"/>
          <w:szCs w:val="18"/>
        </w:rPr>
        <w:t>(3) A térítési díjat - a fenntartó által meghatározottak szerint - a tanulmányi eredménytől függően csökkenteni kell, azonban egy tanítási évben a térítési díj összege nem lehet kevesebb az (1) bekezdésben meghatározott alsó határértéknél.”</w:t>
      </w:r>
    </w:p>
    <w:p>
      <w:pPr>
        <w:pStyle w:val="Normal"/>
        <w:jc w:val="both"/>
        <w:rPr>
          <w:bCs/>
          <w:iCs/>
          <w:sz w:val="18"/>
          <w:szCs w:val="18"/>
          <w:lang w:bidi="hu-HU"/>
        </w:rPr>
      </w:pPr>
      <w:r>
        <w:rPr>
          <w:b/>
          <w:iCs/>
          <w:sz w:val="18"/>
          <w:szCs w:val="18"/>
          <w:lang w:bidi="hu-HU"/>
        </w:rPr>
        <w:t xml:space="preserve">KT </w:t>
      </w:r>
      <w:r>
        <w:rPr>
          <w:bCs/>
          <w:i/>
          <w:iCs/>
          <w:sz w:val="18"/>
          <w:szCs w:val="18"/>
          <w:u w:val="single"/>
          <w:lang w:bidi="hu-HU"/>
        </w:rPr>
        <w:t>„7. melléklet a 2017. évi C. törvényhez</w:t>
      </w:r>
    </w:p>
    <w:p>
      <w:pPr>
        <w:pStyle w:val="Normal"/>
        <w:spacing w:before="0" w:after="60"/>
        <w:jc w:val="both"/>
        <w:rPr>
          <w:bCs/>
          <w:iCs/>
          <w:sz w:val="18"/>
          <w:szCs w:val="18"/>
          <w:lang w:bidi="hu-HU"/>
        </w:rPr>
      </w:pPr>
      <w:r>
        <w:rPr>
          <w:bCs/>
          <w:iCs/>
          <w:sz w:val="18"/>
          <w:szCs w:val="18"/>
          <w:lang w:bidi="hu-HU"/>
        </w:rPr>
        <w:t>VI. KIEGÉSZÍTŐ SZABÁLYOK</w:t>
      </w:r>
    </w:p>
    <w:p>
      <w:pPr>
        <w:pStyle w:val="Normal"/>
        <w:spacing w:before="0" w:after="60"/>
        <w:jc w:val="both"/>
        <w:rPr>
          <w:iCs/>
          <w:sz w:val="18"/>
          <w:szCs w:val="18"/>
          <w:lang w:bidi="hu-HU"/>
        </w:rPr>
      </w:pPr>
      <w:r>
        <w:rPr>
          <w:iCs/>
          <w:sz w:val="18"/>
          <w:szCs w:val="18"/>
          <w:lang w:bidi="hu-HU"/>
        </w:rPr>
        <w:t>13. (…) A térítési díj nem lehet kevesebb, mint a külön jogszabályban meghatározott alsó határ. (…) Az igénylési létszámba nem számítható be az a gyermek, tanuló, akinek a nevelési-oktatási intézmény a külön jogszabályban meghatározott térítési díj maximális mértékénél magasabb fizetési kötelezettséget ír elő.”</w:t>
      </w:r>
    </w:p>
    <w:p>
      <w:pPr>
        <w:pStyle w:val="Normal"/>
        <w:jc w:val="both"/>
        <w:rPr>
          <w:b/>
          <w:b/>
          <w:i/>
          <w:i/>
          <w:iCs/>
          <w:lang w:bidi="hu-HU"/>
        </w:rPr>
      </w:pPr>
      <w:r>
        <w:rPr>
          <w:b/>
          <w:i/>
          <w:iCs/>
          <w:lang w:bidi="hu-HU"/>
        </w:rPr>
        <w:t>A tandíj</w:t>
      </w:r>
    </w:p>
    <w:p>
      <w:pPr>
        <w:pStyle w:val="Normal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VHR. 36. § </w:t>
      </w:r>
      <w:r>
        <w:rPr>
          <w:sz w:val="18"/>
          <w:szCs w:val="18"/>
        </w:rPr>
        <w:t>(2) A tandíj mértéke (…) tanévenként nem haladhatja meg a tanévkezdéskor a szakmai feladatra számított folyó kiadások egy tanulóra jutó hányadát. A tandíj a tanulmányi eredménytől függően vagy a tanuló szociális helyzete alapján csökkenthető.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(3)</w:t>
      </w:r>
      <w:r>
        <w:fldChar w:fldCharType="begin"/>
      </w:r>
      <w:r>
        <w:rPr>
          <w:rStyle w:val="Internethivatkozs"/>
          <w:vertAlign w:val="superscript"/>
          <w:sz w:val="18"/>
          <w:szCs w:val="18"/>
        </w:rPr>
        <w:instrText> HYPERLINK "http://net.jogtar.hu/jr/gen/hjegy_doc.cgi?docid=A1200229.KOR" \l "lbj52id5f28"</w:instrText>
      </w:r>
      <w:r>
        <w:rPr>
          <w:rStyle w:val="Internethivatkozs"/>
          <w:vertAlign w:val="superscript"/>
          <w:sz w:val="18"/>
          <w:szCs w:val="18"/>
        </w:rPr>
        <w:fldChar w:fldCharType="separate"/>
      </w:r>
      <w:r>
        <w:rPr>
          <w:rStyle w:val="Internethivatkozs"/>
          <w:sz w:val="18"/>
          <w:szCs w:val="18"/>
          <w:vertAlign w:val="superscript"/>
        </w:rPr>
        <w:t>53</w:t>
      </w:r>
      <w:r>
        <w:rPr>
          <w:rStyle w:val="Internethivatkozs"/>
          <w:vertAlign w:val="superscript"/>
          <w:sz w:val="18"/>
          <w:szCs w:val="18"/>
        </w:rPr>
        <w:fldChar w:fldCharType="end"/>
      </w:r>
      <w:r>
        <w:rPr>
          <w:sz w:val="18"/>
          <w:szCs w:val="18"/>
        </w:rPr>
        <w:t xml:space="preserve"> Az (1) bekezdés </w:t>
      </w:r>
      <w:r>
        <w:rPr>
          <w:i/>
          <w:iCs/>
          <w:sz w:val="18"/>
          <w:szCs w:val="18"/>
        </w:rPr>
        <w:t xml:space="preserve">d) </w:t>
      </w:r>
      <w:r>
        <w:rPr>
          <w:sz w:val="18"/>
          <w:szCs w:val="18"/>
        </w:rPr>
        <w:t>pontja szerinti esetben az egy tanulóra jutó tandíj mértékét a nevelési-oktatási intézmény vezetője a (2) bekezdésre és a 35. § (6) bekezdésére figyelemmel állapítja meg.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</w:r>
    </w:p>
    <w:p>
      <w:pPr>
        <w:pStyle w:val="Normal"/>
        <w:jc w:val="both"/>
        <w:rPr>
          <w:b/>
          <w:b/>
          <w:iCs/>
          <w:lang w:bidi="hu-HU"/>
        </w:rPr>
      </w:pPr>
      <w:r>
        <w:rPr>
          <w:b/>
          <w:iCs/>
          <w:lang w:bidi="hu-HU"/>
        </w:rPr>
        <w:t>Kedvezmények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 xml:space="preserve">A gondviselő nagykorú tanuló esetében a tanuló írásbeli kérelmére az iskola igazgatója a térítési díj mértékéből kedvezményt adhat. A térítési díjat és a tandíjat a tanulmányi eredménytől függően csökkenteni kell a következők szerint: 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 xml:space="preserve">a) 4,00 - 5,00 tanulmányi átlag 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 xml:space="preserve">b) 3,00 -4,00 tanulmányi átlag 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>c) 2,00-3,00 tanulmányi átlag lépcsőzésben.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 xml:space="preserve">Szociális kedvezmények 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>a) 50 %-kal csökken a tandíj, ha a fizetésre kötelezett családjában az 1 főre jutó havi nettó jövedelem a mindenkori saját jogú öregségi nyugdíjminimum 80 %-át nem éri el, valamint rendszeres gyermekvédelmi támogatásban részesülő tanulók.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>b) 25 %-kal csökken a tandíj, ha a fizetésre kötelezett családjában az egy főre jutó havi nettó jövedelem a mindenkori saját jogú öregségi nyugdíjminimum 150 %-át nem éri el.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</w:r>
    </w:p>
    <w:p>
      <w:pPr>
        <w:pStyle w:val="Normal"/>
        <w:jc w:val="both"/>
        <w:rPr>
          <w:b/>
          <w:b/>
          <w:bCs/>
          <w:iCs/>
          <w:lang w:bidi="hu-HU"/>
        </w:rPr>
      </w:pPr>
      <w:bookmarkStart w:id="4" w:name="bookmark8"/>
      <w:r>
        <w:rPr>
          <w:b/>
          <w:bCs/>
          <w:iCs/>
          <w:lang w:bidi="hu-HU"/>
        </w:rPr>
        <w:t>A térítési díj és a tandíj megállapításának, befizetésének módja</w:t>
      </w:r>
      <w:bookmarkEnd w:id="4"/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>A fizetendő térítési díj és a tandíj mértékét az adott tanévre vonatkozóan a szabályzatban foglaltak alapján az intézmény igazgatója határozat formájában állapítja meg a tanév megkezdésének időpontjáig.</w:t>
      </w:r>
    </w:p>
    <w:p>
      <w:pPr>
        <w:pStyle w:val="ListParagraph"/>
        <w:numPr>
          <w:ilvl w:val="0"/>
          <w:numId w:val="5"/>
        </w:numPr>
        <w:jc w:val="both"/>
        <w:rPr>
          <w:iCs/>
          <w:lang w:bidi="hu-HU"/>
        </w:rPr>
      </w:pPr>
      <w:r>
        <w:rPr>
          <w:iCs/>
          <w:lang w:bidi="hu-HU"/>
        </w:rPr>
        <w:t>A tanulók a térítési díj és a tandíj összegét az Iskola által rendszeresített nyugta ellenében kézpénzben kötelesek befizetni.</w:t>
      </w:r>
    </w:p>
    <w:p>
      <w:pPr>
        <w:pStyle w:val="ListParagraph"/>
        <w:numPr>
          <w:ilvl w:val="0"/>
          <w:numId w:val="5"/>
        </w:numPr>
        <w:jc w:val="both"/>
        <w:rPr>
          <w:iCs/>
          <w:lang w:bidi="hu-HU"/>
        </w:rPr>
      </w:pPr>
      <w:r>
        <w:rPr>
          <w:iCs/>
          <w:lang w:bidi="hu-HU"/>
        </w:rPr>
        <w:t>A térítési díj befizetésének határideje az adott tanév:</w:t>
      </w:r>
    </w:p>
    <w:p>
      <w:pPr>
        <w:pStyle w:val="ListParagraph"/>
        <w:numPr>
          <w:ilvl w:val="2"/>
          <w:numId w:val="5"/>
        </w:numPr>
        <w:jc w:val="both"/>
        <w:rPr>
          <w:iCs/>
          <w:lang w:bidi="hu-HU"/>
        </w:rPr>
      </w:pPr>
      <w:r>
        <w:rPr>
          <w:iCs/>
          <w:lang w:bidi="hu-HU"/>
        </w:rPr>
        <w:t>I. félév december 31.</w:t>
      </w:r>
    </w:p>
    <w:p>
      <w:pPr>
        <w:pStyle w:val="ListParagraph"/>
        <w:numPr>
          <w:ilvl w:val="2"/>
          <w:numId w:val="5"/>
        </w:numPr>
        <w:jc w:val="both"/>
        <w:rPr>
          <w:iCs/>
          <w:lang w:bidi="hu-HU"/>
        </w:rPr>
      </w:pPr>
      <w:r>
        <w:rPr>
          <w:iCs/>
          <w:lang w:bidi="hu-HU"/>
        </w:rPr>
        <w:t>II. félév június 15.</w:t>
      </w:r>
    </w:p>
    <w:p>
      <w:pPr>
        <w:pStyle w:val="ListParagraph"/>
        <w:numPr>
          <w:ilvl w:val="0"/>
          <w:numId w:val="5"/>
        </w:numPr>
        <w:jc w:val="both"/>
        <w:rPr>
          <w:iCs/>
          <w:lang w:bidi="hu-HU"/>
        </w:rPr>
      </w:pPr>
      <w:r>
        <w:rPr>
          <w:iCs/>
          <w:lang w:bidi="hu-HU"/>
        </w:rPr>
        <w:t>Az intézmény vezetője kérésre lehetőséget nyújthat a térítési díj és a tandíj választható rendszerességű megfizetésére.</w:t>
      </w:r>
    </w:p>
    <w:p>
      <w:pPr>
        <w:pStyle w:val="ListParagraph"/>
        <w:numPr>
          <w:ilvl w:val="0"/>
          <w:numId w:val="5"/>
        </w:numPr>
        <w:jc w:val="both"/>
        <w:rPr>
          <w:iCs/>
          <w:lang w:bidi="hu-HU"/>
        </w:rPr>
      </w:pPr>
      <w:r>
        <w:rPr>
          <w:iCs/>
          <w:lang w:bidi="hu-HU"/>
        </w:rPr>
        <w:t>Az intézmény a térítési díj és tandíj megállapításával és megfizetésével kapcsolatos adatokról nyilvántartást vezet.</w:t>
      </w:r>
    </w:p>
    <w:p>
      <w:pPr>
        <w:pStyle w:val="ListParagraph"/>
        <w:numPr>
          <w:ilvl w:val="0"/>
          <w:numId w:val="5"/>
        </w:numPr>
        <w:jc w:val="both"/>
        <w:rPr>
          <w:iCs/>
          <w:lang w:bidi="hu-HU"/>
        </w:rPr>
      </w:pPr>
      <w:r>
        <w:rPr>
          <w:iCs/>
          <w:lang w:bidi="hu-HU"/>
        </w:rPr>
        <w:t>A fizetendő térítési díj és a tandíj mértékéről szóló határozat ellen felülbírálati kérelem nyújtható be határozat meghozatalától számított 30 naptári napig.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>Sopron, 201</w:t>
      </w:r>
      <w:r>
        <w:rPr>
          <w:iCs/>
          <w:lang w:bidi="hu-HU"/>
        </w:rPr>
        <w:t>9</w:t>
      </w:r>
      <w:r>
        <w:rPr>
          <w:iCs/>
          <w:lang w:bidi="hu-HU"/>
        </w:rPr>
        <w:t>.09.01.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</w:r>
    </w:p>
    <w:p>
      <w:pPr>
        <w:pStyle w:val="Normal"/>
        <w:spacing w:before="0" w:after="0"/>
        <w:jc w:val="both"/>
        <w:rPr>
          <w:iCs/>
          <w:lang w:bidi="hu-HU"/>
        </w:rPr>
      </w:pPr>
      <w:r>
        <w:rPr>
          <w:iCs/>
          <w:lang w:bidi="hu-HU"/>
        </w:rPr>
        <w:tab/>
      </w:r>
    </w:p>
    <w:p>
      <w:pPr>
        <w:pStyle w:val="Normal"/>
        <w:rPr/>
      </w:pPr>
      <w:r>
        <w:rPr/>
      </w:r>
      <w:r>
        <w:br w:type="page"/>
      </w:r>
    </w:p>
    <w:p>
      <w:pPr>
        <w:pStyle w:val="ListParagraph"/>
        <w:numPr>
          <w:ilvl w:val="0"/>
          <w:numId w:val="2"/>
        </w:numPr>
        <w:ind w:left="567" w:hanging="720"/>
        <w:jc w:val="both"/>
        <w:rPr>
          <w:b/>
          <w:b/>
        </w:rPr>
      </w:pPr>
      <w:r>
        <w:rPr>
          <w:b/>
        </w:rPr>
        <w:t>számú melléklet</w:t>
      </w:r>
    </w:p>
    <w:p>
      <w:pPr>
        <w:pStyle w:val="Normal"/>
        <w:ind w:left="360" w:hanging="0"/>
        <w:jc w:val="both"/>
        <w:rPr/>
      </w:pPr>
      <w:r>
        <w:rPr>
          <w:b/>
          <w:bCs/>
          <w:lang w:bidi="hu-HU"/>
        </w:rPr>
        <w:t>A Cinege</w:t>
      </w:r>
      <w:bookmarkStart w:id="5" w:name="_GoBack"/>
      <w:bookmarkEnd w:id="5"/>
      <w:r>
        <w:rPr>
          <w:b/>
          <w:bCs/>
          <w:lang w:bidi="hu-HU"/>
        </w:rPr>
        <w:t xml:space="preserve"> Alapfokú Művészeti Iskolában a szakmai feladatra jutó kiadások egy főre jutó hányadának megállapítása</w:t>
      </w:r>
    </w:p>
    <w:p>
      <w:pPr>
        <w:pStyle w:val="Normal"/>
        <w:rPr>
          <w:b/>
          <w:b/>
        </w:rPr>
      </w:pPr>
      <w:r>
        <w:rPr>
          <w:b/>
        </w:rPr>
        <w:t>Tanulói létszám/intézmény (fő)</w:t>
      </w:r>
    </w:p>
    <w:p>
      <w:pPr>
        <w:pStyle w:val="Normal"/>
        <w:rPr>
          <w:b/>
          <w:b/>
        </w:rPr>
      </w:pPr>
      <w:r>
        <w:rPr>
          <w:b/>
        </w:rPr>
        <w:t>Szakmai feladatra jutó kiadások</w:t>
      </w:r>
    </w:p>
    <w:p>
      <w:pPr>
        <w:pStyle w:val="Normal"/>
        <w:rPr/>
      </w:pPr>
      <w:r>
        <w:rPr/>
        <w:t>1.</w:t>
        <w:tab/>
        <w:t>Személyi juttatások:</w:t>
      </w:r>
    </w:p>
    <w:p>
      <w:pPr>
        <w:pStyle w:val="ListParagraph"/>
        <w:numPr>
          <w:ilvl w:val="0"/>
          <w:numId w:val="3"/>
        </w:numPr>
        <w:rPr/>
      </w:pPr>
      <w:r>
        <w:rPr/>
        <w:t>Törvény szerinti illetmények, munkabérek (Ft/év)</w:t>
      </w:r>
    </w:p>
    <w:p>
      <w:pPr>
        <w:pStyle w:val="ListParagraph"/>
        <w:numPr>
          <w:ilvl w:val="0"/>
          <w:numId w:val="3"/>
        </w:numPr>
        <w:rPr/>
      </w:pPr>
      <w:r>
        <w:rPr/>
        <w:t>Megbízási díjak, óradíjak (Ft/év)</w:t>
      </w:r>
    </w:p>
    <w:p>
      <w:pPr>
        <w:pStyle w:val="ListParagraph"/>
        <w:numPr>
          <w:ilvl w:val="0"/>
          <w:numId w:val="3"/>
        </w:numPr>
        <w:rPr/>
      </w:pPr>
      <w:r>
        <w:rPr/>
        <w:t>Adminisztrációs díj (Ft/év)</w:t>
      </w:r>
    </w:p>
    <w:p>
      <w:pPr>
        <w:pStyle w:val="Normal"/>
        <w:rPr/>
      </w:pPr>
      <w:r>
        <w:rPr/>
        <w:t>2.</w:t>
        <w:tab/>
        <w:t>Munkaadót terhelő járulékok és szociális hozzájárulási adó (Ft/év)</w:t>
      </w:r>
    </w:p>
    <w:p>
      <w:pPr>
        <w:pStyle w:val="Normal"/>
        <w:rPr/>
      </w:pPr>
      <w:r>
        <w:rPr/>
        <w:t>3.</w:t>
        <w:tab/>
        <w:t>Dologi kiadások:</w:t>
      </w:r>
    </w:p>
    <w:p>
      <w:pPr>
        <w:pStyle w:val="ListParagraph"/>
        <w:numPr>
          <w:ilvl w:val="0"/>
          <w:numId w:val="4"/>
        </w:numPr>
        <w:rPr/>
      </w:pPr>
      <w:r>
        <w:rPr/>
        <w:t>Üzemeltetési anyagok (Ft/év)</w:t>
      </w:r>
    </w:p>
    <w:p>
      <w:pPr>
        <w:pStyle w:val="ListParagraph"/>
        <w:numPr>
          <w:ilvl w:val="0"/>
          <w:numId w:val="4"/>
        </w:numPr>
        <w:rPr/>
      </w:pPr>
      <w:r>
        <w:rPr/>
        <w:t>Oktatáshoz kapcsolódó szolgáltatási kiadások (Ft/év)</w:t>
      </w:r>
    </w:p>
    <w:p>
      <w:pPr>
        <w:pStyle w:val="ListParagraph"/>
        <w:numPr>
          <w:ilvl w:val="0"/>
          <w:numId w:val="4"/>
        </w:numPr>
        <w:rPr/>
      </w:pPr>
      <w:r>
        <w:rPr/>
        <w:t>Egyéb szolgáltatások kiadásai (Ft/év)</w:t>
      </w:r>
    </w:p>
    <w:p>
      <w:pPr>
        <w:pStyle w:val="ListParagraph"/>
        <w:numPr>
          <w:ilvl w:val="0"/>
          <w:numId w:val="4"/>
        </w:numPr>
        <w:rPr/>
      </w:pPr>
      <w:r>
        <w:rPr/>
        <w:t>Szakmai anyagok (Ft/év)</w:t>
      </w:r>
    </w:p>
    <w:p>
      <w:pPr>
        <w:pStyle w:val="ListParagraph"/>
        <w:numPr>
          <w:ilvl w:val="0"/>
          <w:numId w:val="4"/>
        </w:numPr>
        <w:rPr/>
      </w:pPr>
      <w:r>
        <w:rPr/>
        <w:t>Szakmai tevékenységet segítő szolgáltatások (Ft/év)</w:t>
      </w:r>
    </w:p>
    <w:p>
      <w:pPr>
        <w:pStyle w:val="ListParagraph"/>
        <w:numPr>
          <w:ilvl w:val="0"/>
          <w:numId w:val="4"/>
        </w:numPr>
        <w:rPr/>
      </w:pPr>
      <w:r>
        <w:rPr/>
        <w:t>Dologi kiadások összesen: (Ft/év)</w:t>
      </w:r>
    </w:p>
    <w:p>
      <w:pPr>
        <w:pStyle w:val="Normal"/>
        <w:rPr/>
      </w:pPr>
      <w:r>
        <w:rPr/>
        <w:t>ÖSSZES KIADÁS: 1.+2.+3. (Ft/év)</w:t>
      </w:r>
    </w:p>
    <w:p>
      <w:pPr>
        <w:pStyle w:val="Normal"/>
        <w:rPr>
          <w:b/>
          <w:b/>
        </w:rPr>
      </w:pPr>
      <w:r>
        <w:rPr>
          <w:b/>
        </w:rPr>
        <w:t xml:space="preserve">1 tanulóra jutó kiadás: </w:t>
      </w:r>
      <w:r>
        <w:rPr/>
        <w:t>Összes kiadás/Tanulólétszám (Ft/fő)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hu-HU" w:eastAsia="hu-HU" w:bidi="hu-H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ae3303"/>
    <w:rPr>
      <w:color w:val="0563C1" w:themeColor="hyperlink"/>
      <w:u w:val="single"/>
    </w:rPr>
  </w:style>
  <w:style w:type="character" w:styleId="Szvegtrzs2" w:customStyle="1">
    <w:name w:val="Szövegtörzs (2)_"/>
    <w:basedOn w:val="DefaultParagraphFont"/>
    <w:link w:val="Szvegtrzs20"/>
    <w:qFormat/>
    <w:rsid w:val="00f855fa"/>
    <w:rPr>
      <w:rFonts w:ascii="Times New Roman" w:hAnsi="Times New Roman" w:eastAsia="Times New Roman" w:cs="Times New Roman"/>
      <w:shd w:fill="FFFFFF" w:val="clear"/>
    </w:rPr>
  </w:style>
  <w:style w:type="character" w:styleId="Szvegtrzs2Dlt" w:customStyle="1">
    <w:name w:val="Szövegtörzs (2) + Dőlt"/>
    <w:basedOn w:val="Szvegtrzs2"/>
    <w:qFormat/>
    <w:rsid w:val="00f855fa"/>
    <w:rPr>
      <w:rFonts w:ascii="Times New Roman" w:hAnsi="Times New Roman" w:eastAsia="Times New Roman" w:cs="Times New Roman"/>
      <w:i/>
      <w:iCs/>
      <w:color w:val="000000"/>
      <w:spacing w:val="0"/>
      <w:w w:val="100"/>
      <w:shd w:fill="FFFFFF" w:val="clear"/>
      <w:lang w:val="hu-HU" w:eastAsia="hu-HU" w:bidi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127793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64791"/>
    <w:pPr>
      <w:spacing w:before="0" w:after="160"/>
      <w:ind w:left="720" w:hanging="0"/>
      <w:contextualSpacing/>
    </w:pPr>
    <w:rPr/>
  </w:style>
  <w:style w:type="paragraph" w:styleId="Szvegtrzs21" w:customStyle="1">
    <w:name w:val="Szövegtörzs (2)"/>
    <w:basedOn w:val="Normal"/>
    <w:link w:val="Szvegtrzs2"/>
    <w:qFormat/>
    <w:rsid w:val="00f855fa"/>
    <w:pPr>
      <w:widowControl w:val="false"/>
      <w:shd w:val="clear" w:color="auto" w:fill="FFFFFF"/>
      <w:spacing w:lineRule="exact" w:line="277" w:before="0" w:after="480"/>
      <w:ind w:hanging="480"/>
      <w:jc w:val="center"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1277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LibreOffice/6.4.1.2$Windows_x86 LibreOffice_project/4d224e95b98b138af42a64d84056446d09082932</Application>
  <Pages>7</Pages>
  <Words>1724</Words>
  <Characters>11596</Characters>
  <CharactersWithSpaces>13200</CharactersWithSpaces>
  <Paragraphs>104</Paragraphs>
  <Company>Etalon Alapfokú Művészeti Iskola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2020-05-28T09:49:00Z</dcterms:created>
  <dc:creator>Antal Áron</dc:creator>
  <dc:description/>
  <dc:language>hu-HU</dc:language>
  <cp:lastModifiedBy/>
  <cp:lastPrinted>2020-02-17T08:12:00Z</cp:lastPrinted>
  <dcterms:modified xsi:type="dcterms:W3CDTF">2020-06-30T14:51:50Z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Etalon Alapfokú Művészeti Iskola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