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08" w:rsidRPr="00CE01D5" w:rsidRDefault="00846608" w:rsidP="00846608">
      <w:pPr>
        <w:pStyle w:val="Cmsor1"/>
        <w:spacing w:before="60" w:after="60"/>
        <w:jc w:val="center"/>
        <w:rPr>
          <w:rFonts w:asciiTheme="majorHAnsi" w:hAnsiTheme="majorHAnsi"/>
          <w:sz w:val="20"/>
          <w:szCs w:val="20"/>
        </w:rPr>
      </w:pPr>
      <w:bookmarkStart w:id="0" w:name="_Toc520903328"/>
      <w:bookmarkStart w:id="1" w:name="_Toc526854376"/>
      <w:r w:rsidRPr="00CE01D5">
        <w:rPr>
          <w:rFonts w:asciiTheme="majorHAnsi" w:hAnsiTheme="majorHAnsi"/>
          <w:sz w:val="20"/>
          <w:szCs w:val="20"/>
        </w:rPr>
        <w:t>Adatvédelmi tájékoztató álláspályázatra beküldött önéletrajzok kezeléséről</w:t>
      </w:r>
      <w:bookmarkEnd w:id="0"/>
      <w:bookmarkEnd w:id="1"/>
    </w:p>
    <w:p w:rsidR="00846608" w:rsidRPr="00CE01D5" w:rsidRDefault="00846608" w:rsidP="00846608">
      <w:pPr>
        <w:spacing w:before="60" w:after="60"/>
        <w:jc w:val="both"/>
        <w:textAlignment w:val="baseline"/>
        <w:rPr>
          <w:rFonts w:asciiTheme="majorHAnsi" w:hAnsiTheme="majorHAnsi"/>
          <w:sz w:val="20"/>
          <w:szCs w:val="20"/>
        </w:rPr>
      </w:pPr>
    </w:p>
    <w:p w:rsidR="00846608" w:rsidRPr="00CE01D5" w:rsidRDefault="00846608" w:rsidP="00846608">
      <w:pPr>
        <w:spacing w:before="60" w:after="6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 xml:space="preserve">Az Ön által megadott személyes adatainak védelme kiemelten fontos a </w:t>
      </w:r>
      <w:proofErr w:type="spellStart"/>
      <w:r w:rsidRPr="00CE01D5">
        <w:rPr>
          <w:rFonts w:asciiTheme="majorHAnsi" w:hAnsiTheme="majorHAnsi"/>
          <w:sz w:val="20"/>
          <w:szCs w:val="20"/>
        </w:rPr>
        <w:t>Derula</w:t>
      </w:r>
      <w:proofErr w:type="spellEnd"/>
      <w:r w:rsidRPr="00CE01D5">
        <w:rPr>
          <w:rFonts w:asciiTheme="majorHAnsi" w:hAnsiTheme="majorHAnsi"/>
          <w:sz w:val="20"/>
          <w:szCs w:val="20"/>
        </w:rPr>
        <w:t xml:space="preserve"> Gyártó és Kereskedelmi Kft. (továbbiakban </w:t>
      </w:r>
      <w:proofErr w:type="spellStart"/>
      <w:r w:rsidRPr="00CE01D5">
        <w:rPr>
          <w:rFonts w:asciiTheme="majorHAnsi" w:hAnsiTheme="majorHAnsi"/>
          <w:sz w:val="20"/>
          <w:szCs w:val="20"/>
        </w:rPr>
        <w:t>Derula</w:t>
      </w:r>
      <w:proofErr w:type="spellEnd"/>
      <w:r w:rsidRPr="00CE01D5">
        <w:rPr>
          <w:rFonts w:asciiTheme="majorHAnsi" w:hAnsiTheme="majorHAnsi"/>
          <w:sz w:val="20"/>
          <w:szCs w:val="20"/>
        </w:rPr>
        <w:t xml:space="preserve"> Kft., vagy Adatkezelő) számára. A </w:t>
      </w:r>
      <w:proofErr w:type="spellStart"/>
      <w:r w:rsidRPr="00CE01D5">
        <w:rPr>
          <w:rFonts w:asciiTheme="majorHAnsi" w:hAnsiTheme="majorHAnsi"/>
          <w:sz w:val="20"/>
          <w:szCs w:val="20"/>
        </w:rPr>
        <w:t>Derula</w:t>
      </w:r>
      <w:proofErr w:type="spellEnd"/>
      <w:r w:rsidRPr="00CE01D5">
        <w:rPr>
          <w:rFonts w:asciiTheme="majorHAnsi" w:hAnsiTheme="majorHAnsi"/>
          <w:sz w:val="20"/>
          <w:szCs w:val="20"/>
        </w:rPr>
        <w:t xml:space="preserve"> Kft., az internet használata útján, részére eljuttatott valamennyi személyes adatot ugyanolyan magas szintű védelemmel kezeli, mintha azokat egyéb úton vagy formában bocsátották volna rendelkezésére. Az önéletrajz elektronikus úton történő benyújtása során a </w:t>
      </w:r>
      <w:r w:rsidRPr="00CE01D5">
        <w:rPr>
          <w:rStyle w:val="Hiperhivatkozs"/>
          <w:rFonts w:asciiTheme="majorHAnsi" w:hAnsiTheme="majorHAnsi"/>
          <w:sz w:val="20"/>
          <w:szCs w:val="20"/>
        </w:rPr>
        <w:t>http://www.derula.hu</w:t>
      </w:r>
      <w:r w:rsidRPr="00CE01D5">
        <w:rPr>
          <w:rFonts w:asciiTheme="majorHAnsi" w:hAnsiTheme="majorHAnsi"/>
          <w:color w:val="061728"/>
          <w:sz w:val="20"/>
          <w:szCs w:val="20"/>
        </w:rPr>
        <w:t xml:space="preserve"> weboldalon elektronikusan </w:t>
      </w:r>
      <w:r w:rsidRPr="00CE01D5">
        <w:rPr>
          <w:rFonts w:asciiTheme="majorHAnsi" w:hAnsiTheme="majorHAnsi"/>
          <w:sz w:val="20"/>
          <w:szCs w:val="20"/>
        </w:rPr>
        <w:t xml:space="preserve">megadott személyes adatokat a </w:t>
      </w:r>
      <w:proofErr w:type="spellStart"/>
      <w:r w:rsidRPr="00CE01D5">
        <w:rPr>
          <w:rFonts w:asciiTheme="majorHAnsi" w:hAnsiTheme="majorHAnsi"/>
          <w:sz w:val="20"/>
          <w:szCs w:val="20"/>
        </w:rPr>
        <w:t>Derula</w:t>
      </w:r>
      <w:proofErr w:type="spellEnd"/>
      <w:r w:rsidRPr="00CE01D5">
        <w:rPr>
          <w:rFonts w:asciiTheme="majorHAnsi" w:hAnsiTheme="majorHAnsi"/>
          <w:sz w:val="20"/>
          <w:szCs w:val="20"/>
        </w:rPr>
        <w:t xml:space="preserve"> Kft. kezeli. A Felhasználó (továbbiakban Felhasználó vagy Érintett) által az interneten keresztül történő önéletrajz beküldés során megadott adatok valódiságáért és pontosságáért az Adatkezelő nem felel.</w:t>
      </w:r>
    </w:p>
    <w:p w:rsidR="00846608" w:rsidRPr="00CE01D5" w:rsidRDefault="00846608" w:rsidP="00846608">
      <w:pPr>
        <w:spacing w:before="60" w:after="60"/>
        <w:jc w:val="both"/>
        <w:rPr>
          <w:rFonts w:asciiTheme="majorHAnsi" w:hAnsiTheme="majorHAnsi"/>
          <w:sz w:val="20"/>
          <w:szCs w:val="20"/>
        </w:rPr>
      </w:pPr>
    </w:p>
    <w:p w:rsidR="00846608" w:rsidRPr="00CE01D5" w:rsidRDefault="00846608" w:rsidP="00846608">
      <w:pPr>
        <w:pStyle w:val="Listaszerbekezds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  <w:r w:rsidRPr="00CE01D5">
        <w:rPr>
          <w:rFonts w:asciiTheme="majorHAnsi" w:hAnsiTheme="majorHAnsi"/>
          <w:b/>
          <w:sz w:val="20"/>
          <w:szCs w:val="20"/>
          <w:shd w:val="clear" w:color="auto" w:fill="FFFFFF"/>
        </w:rPr>
        <w:t>Az adatkezelő adatai</w:t>
      </w:r>
    </w:p>
    <w:p w:rsidR="00846608" w:rsidRPr="00CE01D5" w:rsidRDefault="00846608" w:rsidP="00846608">
      <w:pPr>
        <w:pStyle w:val="Listaszerbekezds"/>
        <w:numPr>
          <w:ilvl w:val="0"/>
          <w:numId w:val="5"/>
        </w:numPr>
        <w:tabs>
          <w:tab w:val="left" w:pos="851"/>
        </w:tabs>
        <w:spacing w:before="60" w:after="60"/>
        <w:ind w:left="851" w:hanging="283"/>
        <w:jc w:val="both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Adatkezelő megnevezése:</w:t>
      </w:r>
      <w:r w:rsidRPr="00CE01D5">
        <w:rPr>
          <w:rFonts w:asciiTheme="majorHAnsi" w:hAnsiTheme="majorHAnsi"/>
          <w:sz w:val="20"/>
          <w:szCs w:val="20"/>
        </w:rPr>
        <w:tab/>
      </w:r>
      <w:r w:rsidRPr="00CE01D5">
        <w:rPr>
          <w:rFonts w:asciiTheme="majorHAnsi" w:hAnsiTheme="majorHAnsi"/>
          <w:sz w:val="20"/>
          <w:szCs w:val="20"/>
        </w:rPr>
        <w:tab/>
      </w:r>
      <w:proofErr w:type="spellStart"/>
      <w:r w:rsidRPr="00CE01D5">
        <w:rPr>
          <w:rFonts w:asciiTheme="majorHAnsi" w:hAnsiTheme="majorHAnsi"/>
          <w:sz w:val="20"/>
          <w:szCs w:val="20"/>
        </w:rPr>
        <w:t>Derula</w:t>
      </w:r>
      <w:proofErr w:type="spellEnd"/>
      <w:r w:rsidRPr="00CE01D5">
        <w:rPr>
          <w:rFonts w:asciiTheme="majorHAnsi" w:hAnsiTheme="majorHAnsi"/>
          <w:sz w:val="20"/>
          <w:szCs w:val="20"/>
        </w:rPr>
        <w:t xml:space="preserve"> Gyártó és Kereskedelmi Kft.</w:t>
      </w:r>
    </w:p>
    <w:p w:rsidR="00846608" w:rsidRPr="00CE01D5" w:rsidRDefault="00846608" w:rsidP="00846608">
      <w:pPr>
        <w:pStyle w:val="Listaszerbekezds"/>
        <w:numPr>
          <w:ilvl w:val="0"/>
          <w:numId w:val="5"/>
        </w:numPr>
        <w:tabs>
          <w:tab w:val="left" w:pos="851"/>
        </w:tabs>
        <w:spacing w:before="60" w:after="60"/>
        <w:ind w:left="851" w:hanging="283"/>
        <w:jc w:val="both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Adatkezelő rövidített elnevezés:</w:t>
      </w:r>
      <w:r w:rsidRPr="00CE01D5">
        <w:rPr>
          <w:rFonts w:asciiTheme="majorHAnsi" w:hAnsiTheme="majorHAnsi"/>
          <w:sz w:val="20"/>
          <w:szCs w:val="20"/>
        </w:rPr>
        <w:tab/>
      </w:r>
      <w:proofErr w:type="spellStart"/>
      <w:r w:rsidRPr="00CE01D5">
        <w:rPr>
          <w:rFonts w:asciiTheme="majorHAnsi" w:hAnsiTheme="majorHAnsi"/>
          <w:sz w:val="20"/>
          <w:szCs w:val="20"/>
        </w:rPr>
        <w:t>Derula</w:t>
      </w:r>
      <w:proofErr w:type="spellEnd"/>
      <w:r w:rsidRPr="00CE01D5">
        <w:rPr>
          <w:rFonts w:asciiTheme="majorHAnsi" w:hAnsiTheme="majorHAnsi"/>
          <w:sz w:val="20"/>
          <w:szCs w:val="20"/>
        </w:rPr>
        <w:t xml:space="preserve"> Kft.</w:t>
      </w:r>
    </w:p>
    <w:p w:rsidR="00846608" w:rsidRPr="00CE01D5" w:rsidRDefault="00846608" w:rsidP="00846608">
      <w:pPr>
        <w:pStyle w:val="Listaszerbekezds"/>
        <w:numPr>
          <w:ilvl w:val="0"/>
          <w:numId w:val="5"/>
        </w:numPr>
        <w:tabs>
          <w:tab w:val="left" w:pos="851"/>
        </w:tabs>
        <w:spacing w:before="60" w:after="60"/>
        <w:ind w:left="851" w:hanging="283"/>
        <w:jc w:val="both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Adatkezelő cégjegyzékszáma:</w:t>
      </w:r>
      <w:r w:rsidRPr="00CE01D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CE01D5">
        <w:rPr>
          <w:rFonts w:asciiTheme="majorHAnsi" w:hAnsiTheme="majorHAnsi"/>
          <w:sz w:val="20"/>
          <w:szCs w:val="20"/>
        </w:rPr>
        <w:t>16-09-012638</w:t>
      </w:r>
    </w:p>
    <w:p w:rsidR="00846608" w:rsidRPr="00CE01D5" w:rsidRDefault="00846608" w:rsidP="00846608">
      <w:pPr>
        <w:pStyle w:val="Listaszerbekezds"/>
        <w:numPr>
          <w:ilvl w:val="0"/>
          <w:numId w:val="5"/>
        </w:numPr>
        <w:tabs>
          <w:tab w:val="left" w:pos="851"/>
        </w:tabs>
        <w:spacing w:before="60" w:after="60"/>
        <w:ind w:left="851" w:hanging="283"/>
        <w:jc w:val="both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Adatkezelő székhelye:</w:t>
      </w:r>
      <w:r w:rsidRPr="00CE01D5">
        <w:rPr>
          <w:rFonts w:asciiTheme="majorHAnsi" w:hAnsiTheme="majorHAnsi"/>
          <w:sz w:val="20"/>
          <w:szCs w:val="20"/>
        </w:rPr>
        <w:tab/>
      </w:r>
      <w:r w:rsidRPr="00CE01D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hyperlink r:id="rId5" w:tgtFrame="blank" w:history="1">
        <w:r w:rsidRPr="00CE01D5">
          <w:rPr>
            <w:rFonts w:asciiTheme="majorHAnsi" w:hAnsiTheme="majorHAnsi"/>
            <w:sz w:val="20"/>
            <w:szCs w:val="20"/>
          </w:rPr>
          <w:t xml:space="preserve">5000 Szolnok, </w:t>
        </w:r>
        <w:proofErr w:type="spellStart"/>
        <w:r w:rsidRPr="00CE01D5">
          <w:rPr>
            <w:rFonts w:asciiTheme="majorHAnsi" w:hAnsiTheme="majorHAnsi"/>
            <w:sz w:val="20"/>
            <w:szCs w:val="20"/>
          </w:rPr>
          <w:t>Újszászi</w:t>
        </w:r>
        <w:proofErr w:type="spellEnd"/>
        <w:r w:rsidRPr="00CE01D5">
          <w:rPr>
            <w:rFonts w:asciiTheme="majorHAnsi" w:hAnsiTheme="majorHAnsi"/>
            <w:sz w:val="20"/>
            <w:szCs w:val="20"/>
          </w:rPr>
          <w:t xml:space="preserve"> út 11.</w:t>
        </w:r>
      </w:hyperlink>
    </w:p>
    <w:p w:rsidR="00846608" w:rsidRPr="00CE01D5" w:rsidRDefault="00846608" w:rsidP="00846608">
      <w:pPr>
        <w:pStyle w:val="Listaszerbekezds"/>
        <w:numPr>
          <w:ilvl w:val="0"/>
          <w:numId w:val="5"/>
        </w:numPr>
        <w:tabs>
          <w:tab w:val="left" w:pos="851"/>
        </w:tabs>
        <w:spacing w:before="60" w:after="60"/>
        <w:ind w:left="851" w:hanging="283"/>
        <w:jc w:val="both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Adatkezelő e-elérhetősége:</w:t>
      </w:r>
      <w:r w:rsidRPr="00CE01D5">
        <w:rPr>
          <w:rFonts w:asciiTheme="majorHAnsi" w:hAnsiTheme="majorHAnsi"/>
          <w:sz w:val="20"/>
          <w:szCs w:val="20"/>
        </w:rPr>
        <w:tab/>
      </w:r>
      <w:r w:rsidRPr="00CE01D5">
        <w:rPr>
          <w:rFonts w:asciiTheme="majorHAnsi" w:hAnsiTheme="majorHAnsi"/>
          <w:sz w:val="20"/>
          <w:szCs w:val="20"/>
        </w:rPr>
        <w:tab/>
        <w:t>adatvedelem@derula.hu</w:t>
      </w:r>
    </w:p>
    <w:p w:rsidR="00846608" w:rsidRPr="00CE01D5" w:rsidRDefault="00846608" w:rsidP="00846608">
      <w:pPr>
        <w:pStyle w:val="Listaszerbekezds"/>
        <w:numPr>
          <w:ilvl w:val="0"/>
          <w:numId w:val="5"/>
        </w:numPr>
        <w:tabs>
          <w:tab w:val="left" w:pos="851"/>
        </w:tabs>
        <w:spacing w:before="60" w:after="60"/>
        <w:ind w:left="851" w:hanging="283"/>
        <w:jc w:val="both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Adatkezelő képviselője:</w:t>
      </w:r>
      <w:r w:rsidRPr="00CE01D5">
        <w:rPr>
          <w:rFonts w:asciiTheme="majorHAnsi" w:hAnsiTheme="majorHAnsi"/>
          <w:sz w:val="20"/>
          <w:szCs w:val="20"/>
        </w:rPr>
        <w:tab/>
      </w:r>
      <w:r w:rsidRPr="00CE01D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CE01D5">
        <w:rPr>
          <w:rFonts w:asciiTheme="majorHAnsi" w:hAnsiTheme="majorHAnsi"/>
          <w:sz w:val="20"/>
          <w:szCs w:val="20"/>
        </w:rPr>
        <w:t xml:space="preserve">Dr. Enrico </w:t>
      </w:r>
      <w:proofErr w:type="spellStart"/>
      <w:r w:rsidRPr="00CE01D5">
        <w:rPr>
          <w:rFonts w:asciiTheme="majorHAnsi" w:hAnsiTheme="majorHAnsi"/>
          <w:sz w:val="20"/>
          <w:szCs w:val="20"/>
        </w:rPr>
        <w:t>Bonzano</w:t>
      </w:r>
      <w:proofErr w:type="spellEnd"/>
      <w:r w:rsidRPr="00CE01D5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E01D5">
        <w:rPr>
          <w:rFonts w:asciiTheme="majorHAnsi" w:hAnsiTheme="majorHAnsi"/>
          <w:sz w:val="20"/>
          <w:szCs w:val="20"/>
        </w:rPr>
        <w:t>Massimo</w:t>
      </w:r>
      <w:proofErr w:type="spellEnd"/>
      <w:r w:rsidRPr="00CE01D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E01D5">
        <w:rPr>
          <w:rFonts w:asciiTheme="majorHAnsi" w:hAnsiTheme="majorHAnsi"/>
          <w:sz w:val="20"/>
          <w:szCs w:val="20"/>
        </w:rPr>
        <w:t>Bonzano</w:t>
      </w:r>
      <w:proofErr w:type="spellEnd"/>
      <w:r w:rsidRPr="00CE01D5">
        <w:rPr>
          <w:rFonts w:asciiTheme="majorHAnsi" w:hAnsiTheme="majorHAnsi"/>
          <w:sz w:val="20"/>
          <w:szCs w:val="20"/>
        </w:rPr>
        <w:t>, Szabó Noémi</w:t>
      </w:r>
    </w:p>
    <w:p w:rsidR="00846608" w:rsidRPr="00CE01D5" w:rsidRDefault="00846608" w:rsidP="00846608">
      <w:pPr>
        <w:pStyle w:val="Listaszerbekezds"/>
        <w:numPr>
          <w:ilvl w:val="0"/>
          <w:numId w:val="5"/>
        </w:numPr>
        <w:tabs>
          <w:tab w:val="left" w:pos="851"/>
        </w:tabs>
        <w:spacing w:before="60" w:after="60"/>
        <w:ind w:left="851" w:hanging="283"/>
        <w:jc w:val="both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Adatvédelmi tisztviselő:</w:t>
      </w:r>
      <w:r w:rsidRPr="00CE01D5">
        <w:rPr>
          <w:rFonts w:asciiTheme="majorHAnsi" w:hAnsiTheme="majorHAnsi"/>
          <w:sz w:val="20"/>
          <w:szCs w:val="20"/>
        </w:rPr>
        <w:tab/>
      </w:r>
      <w:r w:rsidRPr="00CE01D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Gáll Attila</w:t>
      </w:r>
    </w:p>
    <w:p w:rsidR="00846608" w:rsidRPr="00CE01D5" w:rsidRDefault="00846608" w:rsidP="00846608">
      <w:pPr>
        <w:pStyle w:val="Listaszerbekezds"/>
        <w:numPr>
          <w:ilvl w:val="0"/>
          <w:numId w:val="5"/>
        </w:numPr>
        <w:tabs>
          <w:tab w:val="left" w:pos="851"/>
        </w:tabs>
        <w:spacing w:before="60" w:after="60"/>
        <w:ind w:left="851" w:hanging="283"/>
        <w:jc w:val="both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E-mail cím:</w:t>
      </w:r>
      <w:r w:rsidRPr="00CE01D5">
        <w:rPr>
          <w:rFonts w:asciiTheme="majorHAnsi" w:hAnsiTheme="majorHAnsi"/>
          <w:sz w:val="20"/>
          <w:szCs w:val="20"/>
        </w:rPr>
        <w:tab/>
      </w:r>
      <w:r w:rsidRPr="00CE01D5">
        <w:rPr>
          <w:rFonts w:asciiTheme="majorHAnsi" w:hAnsiTheme="majorHAnsi"/>
          <w:sz w:val="20"/>
          <w:szCs w:val="20"/>
        </w:rPr>
        <w:tab/>
      </w:r>
      <w:r w:rsidRPr="00CE01D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hyperlink r:id="rId6" w:history="1">
        <w:r w:rsidRPr="00182B7B">
          <w:rPr>
            <w:rStyle w:val="Hiperhivatkozs"/>
            <w:rFonts w:asciiTheme="majorHAnsi" w:hAnsiTheme="majorHAnsi"/>
            <w:sz w:val="20"/>
            <w:szCs w:val="20"/>
          </w:rPr>
          <w:t>attila.gall@rollingconsulting.hu</w:t>
        </w:r>
      </w:hyperlink>
      <w:r w:rsidRPr="00572F27">
        <w:rPr>
          <w:rFonts w:asciiTheme="majorHAnsi" w:hAnsiTheme="majorHAnsi"/>
          <w:sz w:val="20"/>
          <w:szCs w:val="20"/>
        </w:rPr>
        <w:t>&gt;</w:t>
      </w:r>
    </w:p>
    <w:p w:rsidR="00846608" w:rsidRPr="00CE01D5" w:rsidRDefault="00846608" w:rsidP="00846608">
      <w:pPr>
        <w:pStyle w:val="Listaszerbekezds"/>
        <w:numPr>
          <w:ilvl w:val="0"/>
          <w:numId w:val="5"/>
        </w:numPr>
        <w:tabs>
          <w:tab w:val="left" w:pos="851"/>
        </w:tabs>
        <w:spacing w:before="60" w:after="60"/>
        <w:ind w:left="851" w:hanging="283"/>
        <w:jc w:val="both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Telefonszám:</w:t>
      </w:r>
      <w:r w:rsidRPr="00CE01D5">
        <w:rPr>
          <w:rFonts w:asciiTheme="majorHAnsi" w:hAnsiTheme="majorHAnsi"/>
          <w:sz w:val="20"/>
          <w:szCs w:val="20"/>
        </w:rPr>
        <w:tab/>
      </w:r>
      <w:r w:rsidRPr="00CE01D5">
        <w:rPr>
          <w:rFonts w:asciiTheme="majorHAnsi" w:hAnsiTheme="majorHAnsi"/>
          <w:sz w:val="20"/>
          <w:szCs w:val="20"/>
        </w:rPr>
        <w:tab/>
      </w:r>
      <w:r w:rsidRPr="00CE01D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+36-70 940 0986</w:t>
      </w:r>
    </w:p>
    <w:p w:rsidR="00846608" w:rsidRPr="00CE01D5" w:rsidRDefault="00846608" w:rsidP="00846608">
      <w:pPr>
        <w:pStyle w:val="Listaszerbekezds"/>
        <w:spacing w:before="60" w:after="6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846608" w:rsidRPr="00CE01D5" w:rsidRDefault="00846608" w:rsidP="00846608">
      <w:pPr>
        <w:pStyle w:val="Listaszerbekezds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Theme="majorHAnsi" w:hAnsiTheme="majorHAnsi"/>
          <w:b/>
          <w:sz w:val="20"/>
          <w:szCs w:val="20"/>
          <w:shd w:val="clear" w:color="auto" w:fill="FFFFFF"/>
        </w:rPr>
      </w:pPr>
      <w:r w:rsidRPr="00CE01D5">
        <w:rPr>
          <w:rFonts w:asciiTheme="majorHAnsi" w:hAnsiTheme="majorHAnsi"/>
          <w:b/>
          <w:sz w:val="20"/>
          <w:szCs w:val="20"/>
          <w:shd w:val="clear" w:color="auto" w:fill="FFFFFF"/>
        </w:rPr>
        <w:t>Az adatvédelemmel kapcsolatos jogszabályok</w:t>
      </w:r>
    </w:p>
    <w:p w:rsidR="00846608" w:rsidRPr="00CE01D5" w:rsidRDefault="00846608" w:rsidP="00846608">
      <w:pPr>
        <w:shd w:val="clear" w:color="auto" w:fill="FFFFFF"/>
        <w:spacing w:before="60" w:after="60"/>
        <w:ind w:left="284"/>
        <w:jc w:val="both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Az Adatkezelő adatkezelési gyakorlata során mindig alkalmazza és betartja a rá és tevékenységére vonatkozó hatályos jogi szabályozást, különösen a következőket:</w:t>
      </w:r>
    </w:p>
    <w:p w:rsidR="00846608" w:rsidRPr="00CE01D5" w:rsidRDefault="00846608" w:rsidP="00846608">
      <w:pPr>
        <w:pStyle w:val="Listaszerbekezds"/>
        <w:numPr>
          <w:ilvl w:val="0"/>
          <w:numId w:val="2"/>
        </w:numPr>
        <w:tabs>
          <w:tab w:val="left" w:pos="851"/>
        </w:tabs>
        <w:spacing w:before="60" w:after="60" w:line="240" w:lineRule="auto"/>
        <w:ind w:left="851" w:hanging="283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 w:rsidRPr="00CE01D5">
        <w:rPr>
          <w:rFonts w:asciiTheme="majorHAnsi" w:hAnsiTheme="majorHAnsi"/>
          <w:sz w:val="20"/>
          <w:szCs w:val="20"/>
          <w:shd w:val="clear" w:color="auto" w:fill="FFFFFF"/>
        </w:rPr>
        <w:t>Az Európai Parlament és a Tanács 2016/679 rendeletét, a természetes személyeknek a személyes adatok kezelése tekintetében történő védelméről és az ilyen adatok szabad áramlásáról, valamint a 95/46/EK rendelet hatályon kívül helyezéséről (általános adatvédelmi rendelet).</w:t>
      </w:r>
    </w:p>
    <w:p w:rsidR="00846608" w:rsidRPr="00CE01D5" w:rsidRDefault="00846608" w:rsidP="00846608">
      <w:pPr>
        <w:pStyle w:val="Listaszerbekezds"/>
        <w:numPr>
          <w:ilvl w:val="0"/>
          <w:numId w:val="2"/>
        </w:numPr>
        <w:tabs>
          <w:tab w:val="left" w:pos="851"/>
        </w:tabs>
        <w:spacing w:before="60" w:after="60" w:line="240" w:lineRule="auto"/>
        <w:ind w:left="851" w:hanging="283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  <w:r w:rsidRPr="00CE01D5">
        <w:rPr>
          <w:rFonts w:asciiTheme="majorHAnsi" w:hAnsiTheme="majorHAnsi"/>
          <w:sz w:val="20"/>
          <w:szCs w:val="20"/>
          <w:shd w:val="clear" w:color="auto" w:fill="FFFFFF"/>
        </w:rPr>
        <w:t>A 2011. évi CXII. törvényt, az információs önrendelkezési jogról és az információszabadságról (</w:t>
      </w:r>
      <w:proofErr w:type="spellStart"/>
      <w:r w:rsidRPr="00CE01D5">
        <w:rPr>
          <w:rFonts w:asciiTheme="majorHAnsi" w:hAnsiTheme="majorHAnsi"/>
          <w:sz w:val="20"/>
          <w:szCs w:val="20"/>
          <w:shd w:val="clear" w:color="auto" w:fill="FFFFFF"/>
        </w:rPr>
        <w:t>Infotv</w:t>
      </w:r>
      <w:proofErr w:type="spellEnd"/>
      <w:r w:rsidRPr="00CE01D5">
        <w:rPr>
          <w:rFonts w:asciiTheme="majorHAnsi" w:hAnsiTheme="majorHAnsi"/>
          <w:sz w:val="20"/>
          <w:szCs w:val="20"/>
          <w:shd w:val="clear" w:color="auto" w:fill="FFFFFF"/>
        </w:rPr>
        <w:t>.).</w:t>
      </w:r>
    </w:p>
    <w:p w:rsidR="00846608" w:rsidRPr="00CE01D5" w:rsidRDefault="00846608" w:rsidP="00846608">
      <w:pPr>
        <w:pStyle w:val="Listaszerbekezds"/>
        <w:spacing w:before="60" w:after="60" w:line="240" w:lineRule="auto"/>
        <w:ind w:left="1134"/>
        <w:jc w:val="both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846608" w:rsidRPr="00CE01D5" w:rsidRDefault="00846608" w:rsidP="00846608">
      <w:pPr>
        <w:pStyle w:val="Listaszerbekezds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Theme="majorHAnsi" w:hAnsiTheme="majorHAnsi"/>
          <w:b/>
          <w:sz w:val="20"/>
          <w:szCs w:val="20"/>
          <w:shd w:val="clear" w:color="auto" w:fill="FFFFFF"/>
        </w:rPr>
      </w:pPr>
      <w:r w:rsidRPr="00CE01D5">
        <w:rPr>
          <w:rFonts w:asciiTheme="majorHAnsi" w:hAnsiTheme="majorHAnsi"/>
          <w:b/>
          <w:sz w:val="20"/>
          <w:szCs w:val="20"/>
          <w:shd w:val="clear" w:color="auto" w:fill="FFFFFF"/>
        </w:rPr>
        <w:t>Az adatkezelés célja</w:t>
      </w:r>
    </w:p>
    <w:p w:rsidR="00846608" w:rsidRPr="00CE01D5" w:rsidRDefault="00846608" w:rsidP="00846608">
      <w:pPr>
        <w:shd w:val="clear" w:color="auto" w:fill="FFFFFF"/>
        <w:spacing w:before="60" w:after="60"/>
        <w:ind w:left="284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 xml:space="preserve">Az Adatkezelő nyitott, vagy jövőben meghirdetésre kerülő pozíciói esetében a megkapott önéletrajzban szereplő adatok alapján dönt arról, hogy a jelöltek közé felveszi-e az önéletrajz beküldőjét. Tájékoztatja a Felhasználót, amennyiben ez a helyzet fennáll és kapcsolatfelvételt kezdeményez vele. Az adatkezelő csak azokkal a jelöltekkel veszi fel a kapcsolatot, akik az adatkezeléshez hozzájárulásukat megadták, azokkal nem, akik nem adták meg a hozzájárulásukat, vagy azt visszavonták. Az Adatkezelő a leírt céltól eltérően nem használja fel az Érintett személyes adatait. </w:t>
      </w:r>
    </w:p>
    <w:p w:rsidR="00846608" w:rsidRPr="00CE01D5" w:rsidRDefault="00846608" w:rsidP="00846608">
      <w:pPr>
        <w:shd w:val="clear" w:color="auto" w:fill="FFFFFF"/>
        <w:spacing w:before="60" w:after="60"/>
        <w:ind w:left="567"/>
        <w:jc w:val="both"/>
        <w:textAlignment w:val="baseline"/>
        <w:rPr>
          <w:rFonts w:asciiTheme="majorHAnsi" w:hAnsiTheme="majorHAnsi"/>
          <w:sz w:val="20"/>
          <w:szCs w:val="20"/>
        </w:rPr>
      </w:pPr>
    </w:p>
    <w:p w:rsidR="00846608" w:rsidRPr="00CE01D5" w:rsidRDefault="00846608" w:rsidP="00846608">
      <w:pPr>
        <w:pStyle w:val="Listaszerbekezds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Theme="majorHAnsi" w:hAnsiTheme="majorHAnsi"/>
          <w:b/>
          <w:sz w:val="20"/>
          <w:szCs w:val="20"/>
          <w:shd w:val="clear" w:color="auto" w:fill="FFFFFF"/>
        </w:rPr>
      </w:pPr>
      <w:r w:rsidRPr="00CE01D5">
        <w:rPr>
          <w:rFonts w:asciiTheme="majorHAnsi" w:hAnsiTheme="majorHAnsi"/>
          <w:b/>
          <w:sz w:val="20"/>
          <w:szCs w:val="20"/>
          <w:shd w:val="clear" w:color="auto" w:fill="FFFFFF"/>
        </w:rPr>
        <w:t>Az adatkezelés jogalapja</w:t>
      </w:r>
    </w:p>
    <w:p w:rsidR="00846608" w:rsidRPr="00CE01D5" w:rsidRDefault="00846608" w:rsidP="00846608">
      <w:pPr>
        <w:pStyle w:val="NormlWeb"/>
        <w:shd w:val="clear" w:color="auto" w:fill="FFFFFF"/>
        <w:tabs>
          <w:tab w:val="left" w:pos="284"/>
        </w:tabs>
        <w:spacing w:before="60" w:beforeAutospacing="0" w:after="60" w:afterAutospacing="0"/>
        <w:ind w:left="284"/>
        <w:jc w:val="both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 xml:space="preserve">Az adatkezelésre a Felhasználók önkéntes és kifejezett hozzájárulásával kerül sor. A hozzájárulás megadása az Adatkezelő </w:t>
      </w:r>
      <w:hyperlink r:id="rId7" w:history="1">
        <w:r w:rsidRPr="00CE01D5">
          <w:rPr>
            <w:rStyle w:val="Hiperhivatkozs"/>
            <w:rFonts w:asciiTheme="majorHAnsi" w:hAnsiTheme="majorHAnsi"/>
            <w:sz w:val="20"/>
            <w:szCs w:val="20"/>
          </w:rPr>
          <w:t>http://www.derula.hu/</w:t>
        </w:r>
      </w:hyperlink>
      <w:r w:rsidRPr="00CE01D5">
        <w:rPr>
          <w:rStyle w:val="Hiperhivatkozs"/>
          <w:rFonts w:asciiTheme="majorHAnsi" w:hAnsiTheme="majorHAnsi"/>
          <w:sz w:val="20"/>
          <w:szCs w:val="20"/>
        </w:rPr>
        <w:t xml:space="preserve"> </w:t>
      </w:r>
      <w:r w:rsidRPr="00CE01D5">
        <w:rPr>
          <w:rFonts w:asciiTheme="majorHAnsi" w:hAnsiTheme="majorHAnsi"/>
          <w:sz w:val="20"/>
          <w:szCs w:val="20"/>
        </w:rPr>
        <w:t>weboldalán, az elektronikus formában</w:t>
      </w:r>
      <w:r w:rsidRPr="00846608">
        <w:t xml:space="preserve"> </w:t>
      </w:r>
      <w:hyperlink r:id="rId8" w:history="1">
        <w:r w:rsidRPr="00182B7B">
          <w:rPr>
            <w:rStyle w:val="Hiperhivatkozs"/>
            <w:rFonts w:asciiTheme="majorHAnsi" w:hAnsiTheme="majorHAnsi"/>
            <w:sz w:val="20"/>
            <w:szCs w:val="20"/>
          </w:rPr>
          <w:t>info@derula.hu</w:t>
        </w:r>
      </w:hyperlink>
      <w:r>
        <w:rPr>
          <w:rFonts w:asciiTheme="majorHAnsi" w:hAnsiTheme="majorHAnsi"/>
          <w:sz w:val="20"/>
          <w:szCs w:val="20"/>
        </w:rPr>
        <w:t xml:space="preserve"> mailcímre</w:t>
      </w:r>
      <w:bookmarkStart w:id="2" w:name="_GoBack"/>
      <w:bookmarkEnd w:id="2"/>
      <w:r w:rsidRPr="00CE01D5">
        <w:rPr>
          <w:rFonts w:asciiTheme="majorHAnsi" w:hAnsiTheme="majorHAnsi"/>
          <w:sz w:val="20"/>
          <w:szCs w:val="20"/>
        </w:rPr>
        <w:t xml:space="preserve"> elküldött önéletrajz elküldésével és ezen tájékoztató egyidejű elektronikus elolvasásával és elfogadásával történik meg.</w:t>
      </w:r>
    </w:p>
    <w:p w:rsidR="00846608" w:rsidRPr="00CE01D5" w:rsidRDefault="00846608" w:rsidP="00846608">
      <w:pPr>
        <w:pStyle w:val="NormlWeb"/>
        <w:shd w:val="clear" w:color="auto" w:fill="FFFFFF"/>
        <w:spacing w:before="60" w:beforeAutospacing="0" w:after="60" w:afterAutospacing="0"/>
        <w:jc w:val="both"/>
        <w:rPr>
          <w:rFonts w:asciiTheme="majorHAnsi" w:hAnsiTheme="majorHAnsi"/>
          <w:sz w:val="20"/>
          <w:szCs w:val="20"/>
        </w:rPr>
      </w:pPr>
    </w:p>
    <w:p w:rsidR="00846608" w:rsidRPr="00CE01D5" w:rsidRDefault="00846608" w:rsidP="00846608">
      <w:pPr>
        <w:pStyle w:val="Listaszerbekezds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Theme="majorHAnsi" w:hAnsiTheme="majorHAnsi"/>
          <w:b/>
          <w:sz w:val="20"/>
          <w:szCs w:val="20"/>
          <w:shd w:val="clear" w:color="auto" w:fill="FFFFFF"/>
        </w:rPr>
      </w:pPr>
      <w:r w:rsidRPr="00CE01D5">
        <w:rPr>
          <w:rFonts w:asciiTheme="majorHAnsi" w:hAnsiTheme="majorHAnsi"/>
          <w:b/>
          <w:sz w:val="20"/>
          <w:szCs w:val="20"/>
          <w:shd w:val="clear" w:color="auto" w:fill="FFFFFF"/>
        </w:rPr>
        <w:t>A kezelt adatok köre</w:t>
      </w:r>
    </w:p>
    <w:p w:rsidR="00846608" w:rsidRPr="00CE01D5" w:rsidRDefault="00846608" w:rsidP="00846608">
      <w:pPr>
        <w:spacing w:before="60" w:after="60"/>
        <w:ind w:left="284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Az Adatkezelő nyitott, vagy jövőben meghirdetésre kerülő pozíciói betöltéséhez keres alkalmas jelölteket. A jelentkezők alkalmasságáról, első körben csak úgy tudnak meggyőződni, hogy ha a jelentkezők az Adatkezelő rendelkezésére bocsátják az önéletrajzukat. Amennyiben a jelentkezők nem bocsátják az Adatkezelő rendelkezésére az önéletrajzukat, az Adatkezelő nem tudja megvizsgálni azt, hogy a jelentkező alkalmas lehet-e a meghirdetett pozícióra. A kezelt személyes adatok köre az önéletrajzban szereplő személyes adatok (pl.: név, fénykép, születési hely és idő, lakcím, telefonszám, e-mail cím, tanulmányi adatok, egyéb személyes adatok stb.).</w:t>
      </w:r>
    </w:p>
    <w:p w:rsidR="00846608" w:rsidRPr="00CE01D5" w:rsidRDefault="00846608" w:rsidP="00846608">
      <w:pPr>
        <w:spacing w:before="60" w:after="60"/>
        <w:jc w:val="both"/>
        <w:textAlignment w:val="baseline"/>
        <w:rPr>
          <w:rFonts w:asciiTheme="majorHAnsi" w:hAnsiTheme="majorHAnsi"/>
          <w:sz w:val="20"/>
          <w:szCs w:val="20"/>
        </w:rPr>
      </w:pPr>
    </w:p>
    <w:p w:rsidR="00846608" w:rsidRPr="00CE01D5" w:rsidRDefault="00846608" w:rsidP="00846608">
      <w:pPr>
        <w:pStyle w:val="Listaszerbekezds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Theme="majorHAnsi" w:hAnsiTheme="majorHAnsi"/>
          <w:b/>
          <w:sz w:val="20"/>
          <w:szCs w:val="20"/>
          <w:shd w:val="clear" w:color="auto" w:fill="FFFFFF"/>
        </w:rPr>
      </w:pPr>
      <w:r w:rsidRPr="00CE01D5">
        <w:rPr>
          <w:rFonts w:asciiTheme="majorHAnsi" w:hAnsiTheme="majorHAnsi"/>
          <w:b/>
          <w:sz w:val="20"/>
          <w:szCs w:val="20"/>
          <w:shd w:val="clear" w:color="auto" w:fill="FFFFFF"/>
        </w:rPr>
        <w:lastRenderedPageBreak/>
        <w:t>Az adatkezelés időtartama</w:t>
      </w:r>
    </w:p>
    <w:p w:rsidR="00846608" w:rsidRPr="00CE01D5" w:rsidRDefault="00846608" w:rsidP="00846608">
      <w:pPr>
        <w:pStyle w:val="Listaszerbekezds"/>
        <w:numPr>
          <w:ilvl w:val="0"/>
          <w:numId w:val="3"/>
        </w:numPr>
        <w:shd w:val="clear" w:color="auto" w:fill="FFFFFF"/>
        <w:tabs>
          <w:tab w:val="left" w:pos="851"/>
        </w:tabs>
        <w:spacing w:before="60" w:after="60" w:line="240" w:lineRule="auto"/>
        <w:ind w:left="851" w:hanging="283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Az Adatkezelő az önéletrajz küldéssel kapcsolatos személyes adatokat alapesetben addig kezeli, amíg a Felhasználó a hozzájárulását vissza nem vonja. A Felhasználó a hozzájárulását bármikor, díjmentesen visszavonhatja elektronikus, vagy postai úton. Az Adatkezelő a tudomásszerzést követően 15 napon belül intézkedik a személyes adatok törléséről. Amennyiben nem történik visszavonás a hozzájárulás esetében, úgy önéletrajzának beérkezését követő két évig őrizzük meg adatbázisunkban adatait, önéletrajzát.</w:t>
      </w:r>
    </w:p>
    <w:p w:rsidR="00846608" w:rsidRPr="00CE01D5" w:rsidRDefault="00846608" w:rsidP="00846608">
      <w:pPr>
        <w:pStyle w:val="Listaszerbekezds"/>
        <w:numPr>
          <w:ilvl w:val="0"/>
          <w:numId w:val="3"/>
        </w:numPr>
        <w:shd w:val="clear" w:color="auto" w:fill="FFFFFF"/>
        <w:tabs>
          <w:tab w:val="left" w:pos="851"/>
        </w:tabs>
        <w:spacing w:before="60" w:after="60" w:line="240" w:lineRule="auto"/>
        <w:ind w:left="851" w:hanging="283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Amennyiben az önéletrajzra, álláspályázatra reagáló e-mail kiküldése után, olyan automatikus email üzenet érkezik vissza az Adatkezelőnek, hogy az email cím már nem érhető el, vagy már nem a hozzájárulást megadó Érintett használja, akkor az email címhez kapcsolódó összes személyes adat törlésére intézkedik a tudomásszerzést követő 15 napon belül.</w:t>
      </w:r>
    </w:p>
    <w:p w:rsidR="00846608" w:rsidRPr="00CE01D5" w:rsidRDefault="00846608" w:rsidP="00846608">
      <w:pPr>
        <w:pStyle w:val="Listaszerbekezds"/>
        <w:numPr>
          <w:ilvl w:val="0"/>
          <w:numId w:val="3"/>
        </w:numPr>
        <w:shd w:val="clear" w:color="auto" w:fill="FFFFFF"/>
        <w:tabs>
          <w:tab w:val="left" w:pos="851"/>
        </w:tabs>
        <w:spacing w:before="60" w:after="60" w:line="240" w:lineRule="auto"/>
        <w:ind w:left="851" w:hanging="283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A visszavonáshoz való jog nem érinti a visszavonás előtt a hozzájárulás alapján végrehajtott adatkezelés jogszerűségét.</w:t>
      </w:r>
    </w:p>
    <w:p w:rsidR="00846608" w:rsidRPr="00CE01D5" w:rsidRDefault="00846608" w:rsidP="00846608">
      <w:pPr>
        <w:pStyle w:val="Listaszerbekezds"/>
        <w:spacing w:before="60" w:after="60" w:line="240" w:lineRule="auto"/>
        <w:ind w:left="567"/>
        <w:jc w:val="both"/>
        <w:rPr>
          <w:rFonts w:asciiTheme="majorHAnsi" w:hAnsiTheme="majorHAnsi"/>
          <w:b/>
          <w:sz w:val="20"/>
          <w:szCs w:val="20"/>
        </w:rPr>
      </w:pPr>
    </w:p>
    <w:p w:rsidR="00846608" w:rsidRPr="00CE01D5" w:rsidRDefault="00846608" w:rsidP="00846608">
      <w:pPr>
        <w:pStyle w:val="Listaszerbekezds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Theme="majorHAnsi" w:hAnsiTheme="majorHAnsi"/>
          <w:b/>
          <w:sz w:val="20"/>
          <w:szCs w:val="20"/>
          <w:shd w:val="clear" w:color="auto" w:fill="FFFFFF"/>
        </w:rPr>
      </w:pPr>
      <w:r w:rsidRPr="00CE01D5">
        <w:rPr>
          <w:rFonts w:asciiTheme="majorHAnsi" w:hAnsiTheme="majorHAnsi"/>
          <w:b/>
          <w:sz w:val="20"/>
          <w:szCs w:val="20"/>
          <w:shd w:val="clear" w:color="auto" w:fill="FFFFFF"/>
        </w:rPr>
        <w:t>Az Érintett jogai személyes adatainak kezelésével kapcsolatban</w:t>
      </w:r>
    </w:p>
    <w:p w:rsidR="00846608" w:rsidRPr="00CE01D5" w:rsidRDefault="00846608" w:rsidP="00846608">
      <w:pPr>
        <w:pStyle w:val="Listaszerbekezds"/>
        <w:numPr>
          <w:ilvl w:val="0"/>
          <w:numId w:val="3"/>
        </w:numPr>
        <w:shd w:val="clear" w:color="auto" w:fill="FFFFFF"/>
        <w:tabs>
          <w:tab w:val="left" w:pos="851"/>
        </w:tabs>
        <w:spacing w:before="60" w:after="60" w:line="240" w:lineRule="auto"/>
        <w:ind w:left="851" w:hanging="283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Átlátható tájékoztatást kapjon az adatainak kezelésével kapcsolatban.</w:t>
      </w:r>
    </w:p>
    <w:p w:rsidR="00846608" w:rsidRPr="00CE01D5" w:rsidRDefault="00846608" w:rsidP="00846608">
      <w:pPr>
        <w:pStyle w:val="Listaszerbekezds"/>
        <w:numPr>
          <w:ilvl w:val="0"/>
          <w:numId w:val="3"/>
        </w:numPr>
        <w:shd w:val="clear" w:color="auto" w:fill="FFFFFF"/>
        <w:tabs>
          <w:tab w:val="left" w:pos="851"/>
        </w:tabs>
        <w:spacing w:before="60" w:after="60" w:line="240" w:lineRule="auto"/>
        <w:ind w:left="851" w:hanging="283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Visszajelzést kapjon az adatkezelés folyamatban levőségéről és az átlátható tájékoztatásban szereplő információkat megkapja.</w:t>
      </w:r>
    </w:p>
    <w:p w:rsidR="00846608" w:rsidRPr="00CE01D5" w:rsidRDefault="00846608" w:rsidP="00846608">
      <w:pPr>
        <w:pStyle w:val="Listaszerbekezds"/>
        <w:numPr>
          <w:ilvl w:val="0"/>
          <w:numId w:val="3"/>
        </w:numPr>
        <w:shd w:val="clear" w:color="auto" w:fill="FFFFFF"/>
        <w:tabs>
          <w:tab w:val="left" w:pos="851"/>
        </w:tabs>
        <w:spacing w:before="60" w:after="60" w:line="240" w:lineRule="auto"/>
        <w:ind w:left="851" w:hanging="283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A rá vonatkozó pontatlan személyes adatokat helyesbítsék, vagy a hiányos személyes adatokat kiegészítsék.</w:t>
      </w:r>
    </w:p>
    <w:p w:rsidR="00846608" w:rsidRPr="00CE01D5" w:rsidRDefault="00846608" w:rsidP="00846608">
      <w:pPr>
        <w:pStyle w:val="Listaszerbekezds"/>
        <w:numPr>
          <w:ilvl w:val="0"/>
          <w:numId w:val="3"/>
        </w:numPr>
        <w:shd w:val="clear" w:color="auto" w:fill="FFFFFF"/>
        <w:tabs>
          <w:tab w:val="left" w:pos="851"/>
        </w:tabs>
        <w:spacing w:before="60" w:after="60" w:line="240" w:lineRule="auto"/>
        <w:ind w:left="851" w:hanging="283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A rá vonatkozó személyes adatokat töröljék.</w:t>
      </w:r>
    </w:p>
    <w:p w:rsidR="00846608" w:rsidRPr="00CE01D5" w:rsidRDefault="00846608" w:rsidP="00846608">
      <w:pPr>
        <w:pStyle w:val="Listaszerbekezds"/>
        <w:numPr>
          <w:ilvl w:val="0"/>
          <w:numId w:val="3"/>
        </w:numPr>
        <w:shd w:val="clear" w:color="auto" w:fill="FFFFFF"/>
        <w:tabs>
          <w:tab w:val="left" w:pos="851"/>
        </w:tabs>
        <w:spacing w:before="60" w:after="60" w:line="240" w:lineRule="auto"/>
        <w:ind w:left="851" w:hanging="283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Kérésére az Adatkezelő az adatkezelést korlátozza.</w:t>
      </w:r>
    </w:p>
    <w:p w:rsidR="00846608" w:rsidRPr="00CE01D5" w:rsidRDefault="00846608" w:rsidP="00846608">
      <w:pPr>
        <w:pStyle w:val="Listaszerbekezds"/>
        <w:numPr>
          <w:ilvl w:val="0"/>
          <w:numId w:val="3"/>
        </w:numPr>
        <w:shd w:val="clear" w:color="auto" w:fill="FFFFFF"/>
        <w:tabs>
          <w:tab w:val="left" w:pos="851"/>
        </w:tabs>
        <w:spacing w:before="60" w:after="60" w:line="240" w:lineRule="auto"/>
        <w:ind w:left="851" w:hanging="283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 xml:space="preserve">Személyes adatait megfelelő formátumban megkapja és azokat más adatkezelőnek továbbítsa. </w:t>
      </w:r>
    </w:p>
    <w:p w:rsidR="00846608" w:rsidRPr="00CE01D5" w:rsidRDefault="00846608" w:rsidP="00846608">
      <w:pPr>
        <w:spacing w:before="60" w:after="60"/>
        <w:jc w:val="both"/>
        <w:rPr>
          <w:rFonts w:asciiTheme="majorHAnsi" w:hAnsiTheme="majorHAnsi"/>
          <w:sz w:val="20"/>
          <w:szCs w:val="20"/>
        </w:rPr>
      </w:pPr>
    </w:p>
    <w:p w:rsidR="00846608" w:rsidRPr="00CE01D5" w:rsidRDefault="00846608" w:rsidP="00846608">
      <w:pPr>
        <w:pStyle w:val="Listaszerbekezds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Theme="majorHAnsi" w:hAnsiTheme="majorHAnsi"/>
          <w:b/>
          <w:sz w:val="20"/>
          <w:szCs w:val="20"/>
          <w:shd w:val="clear" w:color="auto" w:fill="FFFFFF"/>
        </w:rPr>
      </w:pPr>
      <w:r w:rsidRPr="00CE01D5">
        <w:rPr>
          <w:rFonts w:asciiTheme="majorHAnsi" w:hAnsiTheme="majorHAnsi"/>
          <w:b/>
          <w:sz w:val="20"/>
          <w:szCs w:val="20"/>
          <w:shd w:val="clear" w:color="auto" w:fill="FFFFFF"/>
        </w:rPr>
        <w:t>A személyes adatok törlése</w:t>
      </w:r>
    </w:p>
    <w:p w:rsidR="00846608" w:rsidRPr="00CE01D5" w:rsidRDefault="00846608" w:rsidP="00846608">
      <w:pPr>
        <w:pStyle w:val="Listaszerbekezds"/>
        <w:numPr>
          <w:ilvl w:val="0"/>
          <w:numId w:val="3"/>
        </w:numPr>
        <w:shd w:val="clear" w:color="auto" w:fill="FFFFFF"/>
        <w:tabs>
          <w:tab w:val="left" w:pos="851"/>
        </w:tabs>
        <w:spacing w:before="60" w:after="60" w:line="240" w:lineRule="auto"/>
        <w:ind w:left="851" w:hanging="283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Az Adatkezelő törli az Érintett személyes adatait, ha a hozzájárulását visszavonja a 6. pontban foglaltak szerint.</w:t>
      </w:r>
    </w:p>
    <w:p w:rsidR="00846608" w:rsidRPr="00CE01D5" w:rsidRDefault="00846608" w:rsidP="00846608">
      <w:pPr>
        <w:pStyle w:val="Listaszerbekezds"/>
        <w:numPr>
          <w:ilvl w:val="0"/>
          <w:numId w:val="3"/>
        </w:numPr>
        <w:shd w:val="clear" w:color="auto" w:fill="FFFFFF"/>
        <w:tabs>
          <w:tab w:val="left" w:pos="851"/>
        </w:tabs>
        <w:spacing w:before="60" w:after="60" w:line="240" w:lineRule="auto"/>
        <w:ind w:left="851" w:hanging="283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 xml:space="preserve">Amennyiben az Érintett kéri személyes adatainak törlését az Adatkezelő 15 napon belül törli azokat. </w:t>
      </w:r>
    </w:p>
    <w:p w:rsidR="00846608" w:rsidRPr="00CE01D5" w:rsidRDefault="00846608" w:rsidP="00846608">
      <w:pPr>
        <w:pStyle w:val="Listaszerbekezds"/>
        <w:numPr>
          <w:ilvl w:val="0"/>
          <w:numId w:val="3"/>
        </w:numPr>
        <w:shd w:val="clear" w:color="auto" w:fill="FFFFFF"/>
        <w:tabs>
          <w:tab w:val="left" w:pos="851"/>
        </w:tabs>
        <w:spacing w:before="60" w:after="60" w:line="240" w:lineRule="auto"/>
        <w:ind w:left="851" w:hanging="283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Amennyiben az önéletrajzra, álláspályázatra reagáló e-mail kiküldése után, olyan automatikus email üzenet érkezik vissza az Adatkezelőnek, hogy az email cím már nem érhető el, vagy már nem a hozzájárulást megadó érintett használja, akkor az email címhez kapcsolódó személyes adatok törlésére intézkedik az Adatkezelő, a tudomásszerzést követő 15 napon belül.</w:t>
      </w:r>
    </w:p>
    <w:p w:rsidR="00846608" w:rsidRPr="00CE01D5" w:rsidRDefault="00846608" w:rsidP="00846608">
      <w:pPr>
        <w:pStyle w:val="Listaszerbekezds"/>
        <w:numPr>
          <w:ilvl w:val="0"/>
          <w:numId w:val="3"/>
        </w:numPr>
        <w:shd w:val="clear" w:color="auto" w:fill="FFFFFF"/>
        <w:tabs>
          <w:tab w:val="left" w:pos="851"/>
        </w:tabs>
        <w:spacing w:before="60" w:after="60" w:line="240" w:lineRule="auto"/>
        <w:ind w:left="851" w:hanging="283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Amennyiben a Nemzeti Adatvédelmi és Információszabadság Hatóság vagy a bíróság az Érintett személyes adatainak törlését kéri, akkor az a jogerős határozatban, végzésben foglaltak szerint történik meg.</w:t>
      </w:r>
    </w:p>
    <w:p w:rsidR="00846608" w:rsidRPr="00CE01D5" w:rsidRDefault="00846608" w:rsidP="00846608">
      <w:pPr>
        <w:pStyle w:val="NormlWeb"/>
        <w:shd w:val="clear" w:color="auto" w:fill="FFFFFF"/>
        <w:spacing w:before="60" w:beforeAutospacing="0" w:after="60" w:afterAutospacing="0"/>
        <w:ind w:left="720"/>
        <w:jc w:val="both"/>
        <w:rPr>
          <w:rFonts w:asciiTheme="majorHAnsi" w:hAnsiTheme="majorHAnsi"/>
          <w:color w:val="061728"/>
          <w:sz w:val="20"/>
          <w:szCs w:val="20"/>
        </w:rPr>
      </w:pPr>
    </w:p>
    <w:p w:rsidR="00846608" w:rsidRPr="00CE01D5" w:rsidRDefault="00846608" w:rsidP="00846608">
      <w:pPr>
        <w:pStyle w:val="Listaszerbekezds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Theme="majorHAnsi" w:hAnsiTheme="majorHAnsi"/>
          <w:b/>
          <w:sz w:val="20"/>
          <w:szCs w:val="20"/>
          <w:shd w:val="clear" w:color="auto" w:fill="FFFFFF"/>
        </w:rPr>
      </w:pPr>
      <w:r w:rsidRPr="00CE01D5">
        <w:rPr>
          <w:rFonts w:asciiTheme="majorHAnsi" w:hAnsiTheme="majorHAnsi"/>
          <w:b/>
          <w:sz w:val="20"/>
          <w:szCs w:val="20"/>
          <w:shd w:val="clear" w:color="auto" w:fill="FFFFFF"/>
        </w:rPr>
        <w:t>Az adatok megismerése</w:t>
      </w:r>
    </w:p>
    <w:p w:rsidR="00846608" w:rsidRPr="00CE01D5" w:rsidRDefault="00846608" w:rsidP="00846608">
      <w:pPr>
        <w:pStyle w:val="Listaszerbekezds"/>
        <w:spacing w:before="60" w:after="60" w:line="240" w:lineRule="auto"/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Az adatkezelés időtartama alatt, az adatkezeléssel érintett adatokat az Adatkezelő által foglalkoztatott munkavállalók, feladatuk ellátáshoz szükséges ideig és mértékben ismerhetik meg, titoktartási kötelezettség terhe mellett.</w:t>
      </w:r>
    </w:p>
    <w:p w:rsidR="00846608" w:rsidRPr="00CE01D5" w:rsidRDefault="00846608" w:rsidP="00846608">
      <w:pPr>
        <w:pStyle w:val="Listaszerbekezds"/>
        <w:spacing w:before="60" w:after="60" w:line="240" w:lineRule="auto"/>
        <w:ind w:left="567"/>
        <w:jc w:val="both"/>
        <w:rPr>
          <w:rFonts w:asciiTheme="majorHAnsi" w:hAnsiTheme="majorHAnsi"/>
          <w:b/>
          <w:sz w:val="20"/>
          <w:szCs w:val="20"/>
        </w:rPr>
      </w:pPr>
    </w:p>
    <w:p w:rsidR="00846608" w:rsidRPr="00CE01D5" w:rsidRDefault="00846608" w:rsidP="00846608">
      <w:pPr>
        <w:pStyle w:val="Listaszerbekezds"/>
        <w:numPr>
          <w:ilvl w:val="0"/>
          <w:numId w:val="1"/>
        </w:numPr>
        <w:spacing w:before="60" w:after="60" w:line="240" w:lineRule="auto"/>
        <w:ind w:left="284" w:hanging="426"/>
        <w:jc w:val="both"/>
        <w:rPr>
          <w:rFonts w:asciiTheme="majorHAnsi" w:hAnsiTheme="majorHAnsi"/>
          <w:b/>
          <w:sz w:val="20"/>
          <w:szCs w:val="20"/>
          <w:shd w:val="clear" w:color="auto" w:fill="FFFFFF"/>
        </w:rPr>
      </w:pPr>
      <w:r w:rsidRPr="00CE01D5">
        <w:rPr>
          <w:rFonts w:asciiTheme="majorHAnsi" w:hAnsiTheme="majorHAnsi"/>
          <w:b/>
          <w:sz w:val="20"/>
          <w:szCs w:val="20"/>
          <w:shd w:val="clear" w:color="auto" w:fill="FFFFFF"/>
        </w:rPr>
        <w:t>Adattovábbítás</w:t>
      </w:r>
    </w:p>
    <w:p w:rsidR="00846608" w:rsidRPr="00CE01D5" w:rsidRDefault="00846608" w:rsidP="00846608">
      <w:pPr>
        <w:pStyle w:val="Listaszerbekezds"/>
        <w:spacing w:before="60" w:after="6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Az Adatkezelő a rendelkezésére bocsátott személyes adatokat, a 11. pontban megnevezett adatfeldolgozón, valamint a hatályos jogszabályokban megfogalmazott előírások kivételével, harmadik félnek nem továbbítja.</w:t>
      </w:r>
    </w:p>
    <w:p w:rsidR="00846608" w:rsidRPr="00CE01D5" w:rsidRDefault="00846608" w:rsidP="00846608">
      <w:pPr>
        <w:pStyle w:val="Listaszerbekezds"/>
        <w:spacing w:before="60" w:after="60" w:line="240" w:lineRule="auto"/>
        <w:ind w:left="567"/>
        <w:jc w:val="both"/>
        <w:rPr>
          <w:rFonts w:asciiTheme="majorHAnsi" w:hAnsiTheme="majorHAnsi"/>
          <w:b/>
          <w:sz w:val="20"/>
          <w:szCs w:val="20"/>
        </w:rPr>
      </w:pPr>
    </w:p>
    <w:p w:rsidR="00846608" w:rsidRPr="00CE01D5" w:rsidRDefault="00846608" w:rsidP="00846608">
      <w:pPr>
        <w:pStyle w:val="Listaszerbekezds"/>
        <w:numPr>
          <w:ilvl w:val="0"/>
          <w:numId w:val="1"/>
        </w:numPr>
        <w:spacing w:before="60" w:after="60" w:line="240" w:lineRule="auto"/>
        <w:ind w:left="284" w:hanging="426"/>
        <w:jc w:val="both"/>
        <w:rPr>
          <w:rFonts w:asciiTheme="majorHAnsi" w:hAnsiTheme="majorHAnsi"/>
          <w:b/>
          <w:sz w:val="20"/>
          <w:szCs w:val="20"/>
          <w:shd w:val="clear" w:color="auto" w:fill="FFFFFF"/>
        </w:rPr>
      </w:pPr>
      <w:r w:rsidRPr="00CE01D5">
        <w:rPr>
          <w:rFonts w:asciiTheme="majorHAnsi" w:hAnsiTheme="majorHAnsi"/>
          <w:b/>
          <w:sz w:val="20"/>
          <w:szCs w:val="20"/>
          <w:shd w:val="clear" w:color="auto" w:fill="FFFFFF"/>
        </w:rPr>
        <w:t>Adatfeldolgozás</w:t>
      </w:r>
    </w:p>
    <w:p w:rsidR="00846608" w:rsidRDefault="00846608" w:rsidP="00846608">
      <w:pPr>
        <w:pStyle w:val="Listaszerbekezds"/>
        <w:spacing w:before="60" w:after="6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Az Adatkezelő, az 5. pontban felsorolt személyes adatok kezelése során</w:t>
      </w:r>
      <w:r>
        <w:rPr>
          <w:rFonts w:asciiTheme="majorHAnsi" w:hAnsiTheme="majorHAnsi"/>
          <w:sz w:val="20"/>
          <w:szCs w:val="20"/>
        </w:rPr>
        <w:t xml:space="preserve"> fenntartja a jogot</w:t>
      </w:r>
      <w:r w:rsidRPr="00CE01D5">
        <w:rPr>
          <w:rFonts w:asciiTheme="majorHAnsi" w:hAnsiTheme="majorHAnsi"/>
          <w:sz w:val="20"/>
          <w:szCs w:val="20"/>
        </w:rPr>
        <w:t xml:space="preserve">, az adatok tárolásának és rendelkezésre állásának biztosítása érdekében, tárhely szolgáltatás céljából adatfeldolgozót vesz igénybe. </w:t>
      </w:r>
    </w:p>
    <w:p w:rsidR="00846608" w:rsidRPr="00CE01D5" w:rsidRDefault="00846608" w:rsidP="00846608">
      <w:pPr>
        <w:spacing w:before="60" w:after="60"/>
        <w:ind w:firstLine="284"/>
        <w:jc w:val="both"/>
        <w:rPr>
          <w:rFonts w:asciiTheme="majorHAnsi" w:hAnsiTheme="majorHAnsi"/>
          <w:bCs/>
          <w:sz w:val="20"/>
        </w:rPr>
      </w:pPr>
      <w:r w:rsidRPr="00CE01D5">
        <w:rPr>
          <w:rFonts w:asciiTheme="majorHAnsi" w:hAnsiTheme="majorHAnsi"/>
          <w:bCs/>
          <w:sz w:val="20"/>
        </w:rPr>
        <w:t>Adatfeldolgozó neve: DATATRANS INTERNET Kft.</w:t>
      </w:r>
    </w:p>
    <w:p w:rsidR="00846608" w:rsidRPr="00CE01D5" w:rsidRDefault="00846608" w:rsidP="00846608">
      <w:pPr>
        <w:spacing w:before="60" w:after="60"/>
        <w:ind w:firstLine="284"/>
        <w:jc w:val="both"/>
        <w:rPr>
          <w:rFonts w:asciiTheme="majorHAnsi" w:hAnsiTheme="majorHAnsi"/>
          <w:bCs/>
          <w:sz w:val="20"/>
        </w:rPr>
      </w:pPr>
      <w:r w:rsidRPr="00CE01D5">
        <w:rPr>
          <w:rFonts w:asciiTheme="majorHAnsi" w:hAnsiTheme="majorHAnsi"/>
          <w:bCs/>
          <w:sz w:val="20"/>
        </w:rPr>
        <w:t xml:space="preserve">székhelye: </w:t>
      </w:r>
      <w:hyperlink r:id="rId9" w:tgtFrame="blank" w:history="1">
        <w:r w:rsidRPr="00CE01D5">
          <w:rPr>
            <w:rFonts w:asciiTheme="majorHAnsi" w:hAnsiTheme="majorHAnsi"/>
            <w:bCs/>
            <w:sz w:val="20"/>
          </w:rPr>
          <w:t>8000 Székesfehérvár, Budai út 9-11. II. em. 24.</w:t>
        </w:r>
      </w:hyperlink>
    </w:p>
    <w:p w:rsidR="00846608" w:rsidRPr="00CE01D5" w:rsidRDefault="00846608" w:rsidP="00846608">
      <w:pPr>
        <w:spacing w:before="60" w:after="60"/>
        <w:ind w:firstLine="284"/>
        <w:jc w:val="both"/>
        <w:rPr>
          <w:rFonts w:asciiTheme="majorHAnsi" w:hAnsiTheme="majorHAnsi"/>
          <w:bCs/>
          <w:sz w:val="20"/>
        </w:rPr>
      </w:pPr>
      <w:r w:rsidRPr="00CE01D5">
        <w:rPr>
          <w:rFonts w:asciiTheme="majorHAnsi" w:hAnsiTheme="majorHAnsi"/>
          <w:bCs/>
          <w:sz w:val="20"/>
        </w:rPr>
        <w:t xml:space="preserve">adatkezeléssel összefüggő tevékenysége: honlap üzemeltetés, </w:t>
      </w:r>
      <w:proofErr w:type="spellStart"/>
      <w:r w:rsidRPr="00CE01D5">
        <w:rPr>
          <w:rFonts w:asciiTheme="majorHAnsi" w:hAnsiTheme="majorHAnsi"/>
          <w:bCs/>
          <w:sz w:val="20"/>
        </w:rPr>
        <w:t>domain</w:t>
      </w:r>
      <w:proofErr w:type="spellEnd"/>
      <w:r w:rsidRPr="00CE01D5">
        <w:rPr>
          <w:rFonts w:asciiTheme="majorHAnsi" w:hAnsiTheme="majorHAnsi"/>
          <w:bCs/>
          <w:sz w:val="20"/>
        </w:rPr>
        <w:t xml:space="preserve"> és tárhely szolgáltatás</w:t>
      </w:r>
    </w:p>
    <w:p w:rsidR="00846608" w:rsidRDefault="00846608" w:rsidP="00846608">
      <w:pPr>
        <w:pStyle w:val="Listaszerbekezds"/>
        <w:spacing w:before="60" w:after="6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846608" w:rsidRPr="00CE01D5" w:rsidRDefault="00846608" w:rsidP="00846608">
      <w:pPr>
        <w:pStyle w:val="Listaszerbekezds"/>
        <w:spacing w:before="60" w:after="6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lastRenderedPageBreak/>
        <w:t>Más célból az Adatfeldolgozót nem veszi igénybe az Adatkezelő. Az adatfeldolgozás időtartamát az Adatkezelő és az Adatfeldolgozó közötti hatályos szerződés tartalmazza.</w:t>
      </w:r>
    </w:p>
    <w:p w:rsidR="00846608" w:rsidRPr="00CE01D5" w:rsidRDefault="00846608" w:rsidP="00846608">
      <w:pPr>
        <w:pStyle w:val="Listaszerbekezds"/>
        <w:spacing w:before="60" w:after="60" w:line="240" w:lineRule="auto"/>
        <w:ind w:left="567"/>
        <w:jc w:val="both"/>
        <w:rPr>
          <w:rFonts w:asciiTheme="majorHAnsi" w:hAnsiTheme="majorHAnsi"/>
          <w:sz w:val="20"/>
          <w:szCs w:val="20"/>
        </w:rPr>
      </w:pPr>
    </w:p>
    <w:p w:rsidR="00846608" w:rsidRPr="00CE01D5" w:rsidRDefault="00846608" w:rsidP="00846608">
      <w:pPr>
        <w:pStyle w:val="Listaszerbekezds"/>
        <w:spacing w:before="60" w:after="6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 xml:space="preserve">Az Adatkezelő adatfeldolgozót nem vesz igénybe ezen adatkezelés során. </w:t>
      </w:r>
    </w:p>
    <w:p w:rsidR="00846608" w:rsidRPr="00CE01D5" w:rsidRDefault="00846608" w:rsidP="00846608">
      <w:pPr>
        <w:pStyle w:val="Listaszerbekezds"/>
        <w:spacing w:before="60" w:after="60" w:line="240" w:lineRule="auto"/>
        <w:ind w:left="567"/>
        <w:jc w:val="both"/>
        <w:rPr>
          <w:rFonts w:asciiTheme="majorHAnsi" w:hAnsiTheme="majorHAnsi"/>
          <w:b/>
          <w:sz w:val="20"/>
          <w:szCs w:val="20"/>
        </w:rPr>
      </w:pPr>
    </w:p>
    <w:p w:rsidR="00846608" w:rsidRPr="00CE01D5" w:rsidRDefault="00846608" w:rsidP="00846608">
      <w:pPr>
        <w:pStyle w:val="Listaszerbekezds"/>
        <w:numPr>
          <w:ilvl w:val="0"/>
          <w:numId w:val="1"/>
        </w:numPr>
        <w:spacing w:before="60" w:after="60" w:line="240" w:lineRule="auto"/>
        <w:ind w:left="284" w:hanging="426"/>
        <w:jc w:val="both"/>
        <w:rPr>
          <w:rFonts w:asciiTheme="majorHAnsi" w:hAnsiTheme="majorHAnsi"/>
          <w:b/>
          <w:sz w:val="20"/>
          <w:szCs w:val="20"/>
          <w:shd w:val="clear" w:color="auto" w:fill="FFFFFF"/>
        </w:rPr>
      </w:pPr>
      <w:r w:rsidRPr="00CE01D5">
        <w:rPr>
          <w:rFonts w:asciiTheme="majorHAnsi" w:hAnsiTheme="majorHAnsi"/>
          <w:b/>
          <w:sz w:val="20"/>
          <w:szCs w:val="20"/>
          <w:shd w:val="clear" w:color="auto" w:fill="FFFFFF"/>
        </w:rPr>
        <w:t>Az Érintett jogérvényesítési lehetőségei</w:t>
      </w:r>
    </w:p>
    <w:p w:rsidR="00846608" w:rsidRPr="00CE01D5" w:rsidRDefault="00846608" w:rsidP="00846608">
      <w:pPr>
        <w:pStyle w:val="Listaszerbekezds"/>
        <w:numPr>
          <w:ilvl w:val="0"/>
          <w:numId w:val="4"/>
        </w:numPr>
        <w:shd w:val="clear" w:color="auto" w:fill="FFFFFF"/>
        <w:tabs>
          <w:tab w:val="left" w:pos="851"/>
        </w:tabs>
        <w:spacing w:before="60" w:after="60" w:line="240" w:lineRule="auto"/>
        <w:ind w:left="851" w:hanging="283"/>
        <w:jc w:val="both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Személyes adataival kapcsolatos jogait az Adatkezelőnél, az 1. pontban felsorolt elérhetőségeken keresztül érvényesítheti. Az Adatkezelő a hatályos szabályozások alapján a hozzá beérkezett kérelmet, panaszt kezeli és az eljárás eredményéről az Érintettet tájékoztatja.</w:t>
      </w:r>
    </w:p>
    <w:p w:rsidR="00846608" w:rsidRPr="00CE01D5" w:rsidRDefault="00846608" w:rsidP="00846608">
      <w:pPr>
        <w:pStyle w:val="Listaszerbekezds"/>
        <w:numPr>
          <w:ilvl w:val="0"/>
          <w:numId w:val="4"/>
        </w:numPr>
        <w:shd w:val="clear" w:color="auto" w:fill="FFFFFF"/>
        <w:tabs>
          <w:tab w:val="left" w:pos="851"/>
        </w:tabs>
        <w:spacing w:before="60" w:after="60" w:line="240" w:lineRule="auto"/>
        <w:ind w:left="851" w:hanging="283"/>
        <w:jc w:val="both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 xml:space="preserve">Az Érintett az Adatkezelő adatkezelési tevékenységével kapcsolatos panaszával a Nemzeti Adatvédelmi és Információszabadság Hatósághoz (cím: 1125 Budapest, Szilágyi Erzsébet fasor 22/C., weboldal: </w:t>
      </w:r>
      <w:hyperlink r:id="rId10" w:history="1">
        <w:r w:rsidRPr="00CE01D5">
          <w:rPr>
            <w:rStyle w:val="Hiperhivatkozs"/>
            <w:rFonts w:asciiTheme="majorHAnsi" w:hAnsiTheme="majorHAnsi"/>
            <w:sz w:val="20"/>
            <w:szCs w:val="20"/>
          </w:rPr>
          <w:t>www.naih.hu</w:t>
        </w:r>
      </w:hyperlink>
      <w:r w:rsidRPr="00CE01D5">
        <w:rPr>
          <w:rFonts w:asciiTheme="majorHAnsi" w:hAnsiTheme="majorHAnsi"/>
          <w:sz w:val="20"/>
          <w:szCs w:val="20"/>
        </w:rPr>
        <w:t>) fordulhat.</w:t>
      </w:r>
    </w:p>
    <w:p w:rsidR="00846608" w:rsidRPr="00CE01D5" w:rsidRDefault="00846608" w:rsidP="00846608">
      <w:pPr>
        <w:pStyle w:val="Listaszerbekezds"/>
        <w:numPr>
          <w:ilvl w:val="0"/>
          <w:numId w:val="4"/>
        </w:numPr>
        <w:tabs>
          <w:tab w:val="left" w:pos="851"/>
        </w:tabs>
        <w:spacing w:before="60" w:after="60" w:line="240" w:lineRule="auto"/>
        <w:ind w:left="851" w:hanging="283"/>
        <w:jc w:val="both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Az Érintett jogosult bírósági eljárást indítani az Adatkezelő tevékenységi helye szerint illetékes bíróságon, amennyiben a hatályos jogszabályok szerinti jogait az Adatkezelő megsértette.</w:t>
      </w:r>
    </w:p>
    <w:p w:rsidR="00846608" w:rsidRPr="00CE01D5" w:rsidRDefault="00846608" w:rsidP="00846608">
      <w:pPr>
        <w:pStyle w:val="Listaszerbekezds"/>
        <w:spacing w:before="60" w:after="60" w:line="240" w:lineRule="auto"/>
        <w:ind w:left="567"/>
        <w:jc w:val="both"/>
        <w:rPr>
          <w:rFonts w:asciiTheme="majorHAnsi" w:hAnsiTheme="majorHAnsi"/>
          <w:b/>
          <w:sz w:val="20"/>
          <w:szCs w:val="20"/>
        </w:rPr>
      </w:pPr>
    </w:p>
    <w:p w:rsidR="00846608" w:rsidRPr="00CE01D5" w:rsidRDefault="00846608" w:rsidP="00846608">
      <w:pPr>
        <w:pStyle w:val="Listaszerbekezds"/>
        <w:numPr>
          <w:ilvl w:val="0"/>
          <w:numId w:val="1"/>
        </w:numPr>
        <w:spacing w:before="60" w:after="60" w:line="240" w:lineRule="auto"/>
        <w:ind w:left="284" w:hanging="426"/>
        <w:jc w:val="both"/>
        <w:rPr>
          <w:rFonts w:asciiTheme="majorHAnsi" w:hAnsiTheme="majorHAnsi"/>
          <w:b/>
          <w:sz w:val="20"/>
          <w:szCs w:val="20"/>
          <w:shd w:val="clear" w:color="auto" w:fill="FFFFFF"/>
        </w:rPr>
      </w:pPr>
      <w:r w:rsidRPr="00CE01D5">
        <w:rPr>
          <w:rFonts w:asciiTheme="majorHAnsi" w:hAnsiTheme="majorHAnsi"/>
          <w:b/>
          <w:sz w:val="20"/>
          <w:szCs w:val="20"/>
          <w:shd w:val="clear" w:color="auto" w:fill="FFFFFF"/>
        </w:rPr>
        <w:t>Titoktartás</w:t>
      </w:r>
    </w:p>
    <w:p w:rsidR="00846608" w:rsidRPr="00CE01D5" w:rsidRDefault="00846608" w:rsidP="00846608">
      <w:pPr>
        <w:pStyle w:val="Listaszerbekezds"/>
        <w:spacing w:before="60" w:after="60" w:line="240" w:lineRule="auto"/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Az Adatkezelő, a partnerei, ügyfelei személyére, adataira, az Adatkezelővel fennálló üzleti kapcsolataira vonatkozó valamennyi információt üzleti titokként kezeli.</w:t>
      </w:r>
    </w:p>
    <w:p w:rsidR="00846608" w:rsidRPr="00CE01D5" w:rsidRDefault="00846608" w:rsidP="00846608">
      <w:pPr>
        <w:pStyle w:val="Listaszerbekezds"/>
        <w:spacing w:before="60" w:after="60" w:line="240" w:lineRule="auto"/>
        <w:ind w:left="567"/>
        <w:jc w:val="both"/>
        <w:rPr>
          <w:rFonts w:asciiTheme="majorHAnsi" w:hAnsiTheme="majorHAnsi"/>
          <w:b/>
          <w:sz w:val="20"/>
          <w:szCs w:val="20"/>
        </w:rPr>
      </w:pPr>
    </w:p>
    <w:p w:rsidR="00846608" w:rsidRPr="00CE01D5" w:rsidRDefault="00846608" w:rsidP="00846608">
      <w:pPr>
        <w:pStyle w:val="Listaszerbekezds"/>
        <w:numPr>
          <w:ilvl w:val="0"/>
          <w:numId w:val="1"/>
        </w:numPr>
        <w:spacing w:before="60" w:after="60" w:line="240" w:lineRule="auto"/>
        <w:ind w:left="284" w:hanging="426"/>
        <w:jc w:val="both"/>
        <w:rPr>
          <w:rFonts w:asciiTheme="majorHAnsi" w:hAnsiTheme="majorHAnsi"/>
          <w:b/>
          <w:sz w:val="20"/>
          <w:szCs w:val="20"/>
          <w:shd w:val="clear" w:color="auto" w:fill="FFFFFF"/>
        </w:rPr>
      </w:pPr>
      <w:r w:rsidRPr="00CE01D5">
        <w:rPr>
          <w:rFonts w:asciiTheme="majorHAnsi" w:hAnsiTheme="majorHAnsi"/>
          <w:b/>
          <w:sz w:val="20"/>
          <w:szCs w:val="20"/>
          <w:shd w:val="clear" w:color="auto" w:fill="FFFFFF"/>
        </w:rPr>
        <w:t>Adatbiztonsági intézkedések</w:t>
      </w:r>
    </w:p>
    <w:p w:rsidR="00846608" w:rsidRPr="00CE01D5" w:rsidRDefault="00846608" w:rsidP="00846608">
      <w:pPr>
        <w:pStyle w:val="NormlWeb"/>
        <w:shd w:val="clear" w:color="auto" w:fill="FFFFFF"/>
        <w:spacing w:before="60" w:beforeAutospacing="0" w:after="60" w:afterAutospacing="0"/>
        <w:ind w:left="284"/>
        <w:jc w:val="both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Az Adatkezelő rendelkezésére bocsátott és általa kezelt személyes adatokat saját tulajdonú és üzemeltetésű, illetve a 11. pontban megjelölt Adatfeldolgozó által üzemeltetett szervereken tárolja. Az említett szerverek, a jogosulatlan felhasználás és az azzal kapcsolatos visszaélések megelőzése érdekében, korszerű, a technológiai fejlettségnek megfelelő műszaki és üzemeltetési biztonsági intézkedések vannak védve. Az Adatkezelő és az Adatfeldolgozó biztonsági eljárásaikat rendszeresen ellenőrzik és a technológiai fejlődéssel összhangban fejlesztik.</w:t>
      </w:r>
    </w:p>
    <w:p w:rsidR="00846608" w:rsidRPr="00CE01D5" w:rsidRDefault="00846608" w:rsidP="00846608">
      <w:pPr>
        <w:pStyle w:val="Listaszerbekezds"/>
        <w:spacing w:before="60" w:after="60" w:line="240" w:lineRule="auto"/>
        <w:ind w:left="567"/>
        <w:jc w:val="both"/>
        <w:rPr>
          <w:rFonts w:asciiTheme="majorHAnsi" w:hAnsiTheme="majorHAnsi"/>
          <w:b/>
          <w:sz w:val="20"/>
          <w:szCs w:val="20"/>
        </w:rPr>
      </w:pPr>
    </w:p>
    <w:p w:rsidR="00846608" w:rsidRPr="00CE01D5" w:rsidRDefault="00846608" w:rsidP="00846608">
      <w:pPr>
        <w:pStyle w:val="Listaszerbekezds"/>
        <w:numPr>
          <w:ilvl w:val="0"/>
          <w:numId w:val="1"/>
        </w:numPr>
        <w:spacing w:before="60" w:after="60" w:line="240" w:lineRule="auto"/>
        <w:ind w:left="284" w:hanging="426"/>
        <w:jc w:val="both"/>
        <w:rPr>
          <w:rFonts w:asciiTheme="majorHAnsi" w:hAnsiTheme="majorHAnsi"/>
          <w:b/>
          <w:sz w:val="20"/>
          <w:szCs w:val="20"/>
          <w:shd w:val="clear" w:color="auto" w:fill="FFFFFF"/>
        </w:rPr>
      </w:pPr>
      <w:r w:rsidRPr="00CE01D5">
        <w:rPr>
          <w:rFonts w:asciiTheme="majorHAnsi" w:hAnsiTheme="majorHAnsi"/>
          <w:b/>
          <w:sz w:val="20"/>
          <w:szCs w:val="20"/>
          <w:shd w:val="clear" w:color="auto" w:fill="FFFFFF"/>
        </w:rPr>
        <w:t>Az adatkezelési tájékoztató módosításának lehetősége</w:t>
      </w:r>
    </w:p>
    <w:p w:rsidR="00846608" w:rsidRPr="00CE01D5" w:rsidRDefault="00846608" w:rsidP="00846608">
      <w:pPr>
        <w:pStyle w:val="NormlWeb"/>
        <w:shd w:val="clear" w:color="auto" w:fill="FFFFFF"/>
        <w:spacing w:before="60" w:beforeAutospacing="0" w:after="60" w:afterAutospacing="0"/>
        <w:ind w:left="284"/>
        <w:jc w:val="both"/>
        <w:rPr>
          <w:rFonts w:asciiTheme="majorHAnsi" w:hAnsiTheme="majorHAnsi"/>
          <w:sz w:val="20"/>
          <w:szCs w:val="20"/>
        </w:rPr>
      </w:pPr>
      <w:r w:rsidRPr="00CE01D5">
        <w:rPr>
          <w:rFonts w:asciiTheme="majorHAnsi" w:hAnsiTheme="majorHAnsi"/>
          <w:sz w:val="20"/>
          <w:szCs w:val="20"/>
        </w:rPr>
        <w:t>Az Adatkezelő fenntartja a jogot, hogy jelen adatkezelési tájékoztatót a felhasználók értesítése mellett, egyoldalúan módosítsa.</w:t>
      </w:r>
    </w:p>
    <w:p w:rsidR="00EC73C9" w:rsidRDefault="00EC73C9"/>
    <w:sectPr w:rsidR="00EC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354"/>
    <w:multiLevelType w:val="hybridMultilevel"/>
    <w:tmpl w:val="AF08544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690A0A"/>
    <w:multiLevelType w:val="hybridMultilevel"/>
    <w:tmpl w:val="9328EBD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564DD4"/>
    <w:multiLevelType w:val="hybridMultilevel"/>
    <w:tmpl w:val="F6524F3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B224C48"/>
    <w:multiLevelType w:val="hybridMultilevel"/>
    <w:tmpl w:val="5C0497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B3C46"/>
    <w:multiLevelType w:val="hybridMultilevel"/>
    <w:tmpl w:val="F0A465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08"/>
    <w:rsid w:val="00846608"/>
    <w:rsid w:val="00EC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4999"/>
  <w15:chartTrackingRefBased/>
  <w15:docId w15:val="{013B7074-678D-4B28-873A-B886CB89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846608"/>
    <w:pPr>
      <w:keepNext/>
      <w:tabs>
        <w:tab w:val="left" w:pos="284"/>
      </w:tabs>
      <w:outlineLvl w:val="0"/>
    </w:pPr>
    <w:rPr>
      <w:rFonts w:ascii="Cambria" w:hAnsi="Cambria"/>
      <w:b/>
      <w:bCs/>
      <w:kern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46608"/>
    <w:rPr>
      <w:rFonts w:ascii="Cambria" w:eastAsia="Times New Roman" w:hAnsi="Cambria" w:cs="Times New Roman"/>
      <w:b/>
      <w:bCs/>
      <w:kern w:val="32"/>
      <w:sz w:val="24"/>
      <w:szCs w:val="32"/>
      <w:lang w:eastAsia="hu-HU"/>
    </w:rPr>
  </w:style>
  <w:style w:type="character" w:styleId="Hiperhivatkozs">
    <w:name w:val="Hyperlink"/>
    <w:uiPriority w:val="99"/>
    <w:rsid w:val="00846608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846608"/>
    <w:pPr>
      <w:spacing w:before="100" w:beforeAutospacing="1" w:after="100" w:afterAutospacing="1"/>
    </w:pPr>
  </w:style>
  <w:style w:type="paragraph" w:styleId="Listaszerbekezds">
    <w:name w:val="List Paragraph"/>
    <w:aliases w:val="List Paragraph à moi"/>
    <w:basedOn w:val="Norml"/>
    <w:link w:val="ListaszerbekezdsChar"/>
    <w:uiPriority w:val="34"/>
    <w:qFormat/>
    <w:rsid w:val="00846608"/>
    <w:pPr>
      <w:spacing w:after="200" w:line="276" w:lineRule="auto"/>
      <w:ind w:left="720"/>
      <w:contextualSpacing/>
    </w:pPr>
    <w:rPr>
      <w:sz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34"/>
    <w:locked/>
    <w:rsid w:val="00846608"/>
    <w:rPr>
      <w:rFonts w:ascii="Times New Roman" w:eastAsia="Times New Roman" w:hAnsi="Times New Roman" w:cs="Times New Roman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846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rul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rula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tila.gall@rollingconsulting.h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hu/maps/place/5000+Szolnok+%C3%9Ajsz%C3%A1szi+%C3%BAt+11." TargetMode="External"/><Relationship Id="rId10" Type="http://schemas.openxmlformats.org/officeDocument/2006/relationships/hyperlink" Target="http://www.naih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hu/maps/place/8000+Sz%C3%A9kesfeh%C3%A9rv%C3%A1r+Budai+%C3%BAt+9-11.+II.+em.+24.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1142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Gáll Attila</dc:creator>
  <cp:keywords/>
  <dc:description/>
  <cp:lastModifiedBy>Gáll Attila</cp:lastModifiedBy>
  <cp:revision>1</cp:revision>
  <dcterms:created xsi:type="dcterms:W3CDTF">2019-02-25T14:32:00Z</dcterms:created>
  <dcterms:modified xsi:type="dcterms:W3CDTF">2019-02-25T14:36:00Z</dcterms:modified>
</cp:coreProperties>
</file>